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394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抚松县慈善会</w:t>
      </w:r>
    </w:p>
    <w:p w14:paraId="4FD52C60">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sz w:val="32"/>
          <w:szCs w:val="32"/>
        </w:rPr>
      </w:pPr>
      <w:bookmarkStart w:id="0" w:name="_GoBack"/>
      <w:r>
        <w:rPr>
          <w:rFonts w:hint="eastAsia" w:ascii="方正小标宋简体" w:hAnsi="方正小标宋简体" w:eastAsia="方正小标宋简体" w:cs="方正小标宋简体"/>
          <w:sz w:val="44"/>
          <w:szCs w:val="44"/>
        </w:rPr>
        <w:t>法人独立与慈善财产保护专项制度</w:t>
      </w:r>
      <w:bookmarkEnd w:id="0"/>
    </w:p>
    <w:p w14:paraId="43F4CEC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总则</w:t>
      </w:r>
    </w:p>
    <w:p w14:paraId="00099D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制定目的</w:t>
      </w:r>
    </w:p>
    <w:p w14:paraId="03F81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为维护本会作为慈善法人的独立地位，保障慈善财产的独立、安全与完整，确保全部财产严格用于慈善目的，防范任何形式的非法干预、侵占、挪用风险，依据国家法律法规及本会章程，制定本制度。</w:t>
      </w:r>
    </w:p>
    <w:p w14:paraId="BC398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核心原则</w:t>
      </w:r>
    </w:p>
    <w:p w14:paraId="7712BB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本会一切活动以法律法规与本会章程为最高准则。坚持法人意志独立、治理结构独立、财产权利独立、财务核算独立。任何与本会发生关系的组织或个人，均须尊重本会的独立法人地位与财产权。</w:t>
      </w:r>
    </w:p>
    <w:p w14:paraId="099C21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主要法律依据</w:t>
      </w:r>
    </w:p>
    <w:p w14:paraId="D954FA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1.《中华人民共和国民法典》（第三章“非营利法人”）</w:t>
      </w:r>
    </w:p>
    <w:p w14:paraId="B6D1E9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2.《中华人民共和国慈善法》</w:t>
      </w:r>
    </w:p>
    <w:p w14:paraId="47C7F2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3.《中华人民共和国公益事业捐赠法》</w:t>
      </w:r>
    </w:p>
    <w:p w14:paraId="C24A54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4.《社会团体登记管理条例》</w:t>
      </w:r>
    </w:p>
    <w:p w14:paraId="7DE587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5.《政府非税收入管理办法》（财税〔2016〕33号）</w:t>
      </w:r>
    </w:p>
    <w:p w14:paraId="F1453A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6.《公益事业捐赠票据使用管理办法》（财综〔2024〕1号）</w:t>
      </w:r>
    </w:p>
    <w:p w14:paraId="F35EB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7.《民间非营利组织会计制度》</w:t>
      </w:r>
    </w:p>
    <w:p w14:paraId="64024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8.</w:t>
      </w:r>
      <w:r>
        <w:rPr>
          <w:rFonts w:hint="eastAsia" w:ascii="仿宋" w:hAnsi="仿宋" w:eastAsia="仿宋" w:cs="仿宋"/>
          <w:sz w:val="32"/>
          <w:szCs w:val="32"/>
          <w:lang w:eastAsia="zh-CN"/>
        </w:rPr>
        <w:t>《吉林省慈善条例》</w:t>
      </w:r>
    </w:p>
    <w:p w14:paraId="BF61E6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国家及地方其他相关法律法规及规范性文件。</w:t>
      </w:r>
    </w:p>
    <w:p w14:paraId="CD0ED5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第二章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法人独立地位保护</w:t>
      </w:r>
    </w:p>
    <w:p w14:paraId="8F98B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第四</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条法律地位声明</w:t>
      </w:r>
    </w:p>
    <w:p w14:paraId="F1E8C5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本会是依据《民法典》和《慈善法》设立的、具有独立法人资格的非营利组织。本会的合法权益和民事活动受法律保护，任何组织和个人不得非法干涉。</w:t>
      </w:r>
    </w:p>
    <w:p w14:paraId="89569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治理结构独立</w:t>
      </w:r>
    </w:p>
    <w:p w14:paraId="FFBC19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的决策机构是理事会，执行机构是秘书处，监督机构是监事会。上述机构的产生、议事、决策均严格依照本会《章程》进行。任何外部组织或个人不得违反本会《章程》，直接或间接干预理事、监事的选举与罢免，或干预理事会、监事会、秘书处依据章程及法律授权的独立运作。</w:t>
      </w:r>
    </w:p>
    <w:p w14:paraId="CEC53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意志独立</w:t>
      </w:r>
    </w:p>
    <w:p w14:paraId="3D7A4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的一切活动必须基于理事会依照《章程》和法律法规作出的独立决议。对于任何外部指令、建议或要求，本会均有权依据法律法规和本会《章程》进行独立审查，并作出是否采纳的最终决定。禁止以任何会议纪要、领导批示、口头指示等非本会内部决议文件，替代本会的法定决策程序。</w:t>
      </w:r>
    </w:p>
    <w:p w14:paraId="AF4CF8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第三章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慈善财产独立性保护</w:t>
      </w:r>
    </w:p>
    <w:p w14:paraId="9916E2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财产性质法定</w:t>
      </w:r>
    </w:p>
    <w:p w14:paraId="3E59E2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所有财产，包括创始财产、捐赠收入、政府补助收入、提供服务收入、投资收益及其他合法收入及其增值，均为社会公共财产。其所有权不归属于任何个人、企业或政府部门，由本会依法享有法人财产权，并仅能用于实现本会章程规定的慈善目的。</w:t>
      </w:r>
    </w:p>
    <w:p w14:paraId="2434B9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禁止性行为清单</w:t>
      </w:r>
    </w:p>
    <w:p w14:paraId="9A604B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严格禁止以下任何侵害慈善财产独立性与安全性的行为：</w:t>
      </w:r>
    </w:p>
    <w:p w14:paraId="CA8AD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1.禁止主体混淆：将本会认定为“代行政府职能的社会团体”或“非税收入执收单位”。</w:t>
      </w:r>
    </w:p>
    <w:p w14:paraId="DEB903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2.禁止资金性质混淆：将本会接受的捐赠等慈善财产，认定为“政府非税收入”、“财政资金”或其他非慈善性质收入。</w:t>
      </w:r>
    </w:p>
    <w:p w14:paraId="8DF32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3.禁止财产混同：将本会财产与任何行政机关、企事业单位或其他组织的财产混同管理或核算。</w:t>
      </w:r>
    </w:p>
    <w:p w14:paraId="AF9762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4.禁止账户功能滥用：将本会银行账户作为财政资金、非税收入或其他单位资金的“过渡账户”、“中转账户”或“沉淀账户”。</w:t>
      </w:r>
    </w:p>
    <w:p w14:paraId="321C3E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5.禁止非法划转：应外部要求，将本会财产直接划转至财政账户、政府融资平台账户或任何与本会慈善项目无关的账户。</w:t>
      </w:r>
    </w:p>
    <w:p w14:paraId="FB21E2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6.禁止违规担保：以本会财产为任何单位或个人的债务提供担保。</w:t>
      </w:r>
    </w:p>
    <w:p w14:paraId="C223D4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7.禁止变相挪用：以“借款”、“暂借”、“垫付”等名义，变相挪用慈善财产用于非慈善用途。</w:t>
      </w:r>
    </w:p>
    <w:p w14:paraId="123350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8.禁止票据违法：串用、代开、虚开财政票据。严禁为实质为非慈善捐赠的款项开具“公益事业捐赠票据”，或为慈善捐赠开具非税收入票据。</w:t>
      </w:r>
    </w:p>
    <w:p w14:paraId="D63D66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财务核算独立</w:t>
      </w:r>
    </w:p>
    <w:p w14:paraId="EC09F2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严格执行《民间非营利组织会计制度》，确保会计主体独立、凭证合法有效、核算清晰准确。对于任何外部试图注入的非慈善性质资金，财务部门有权且必须拒绝进行账务处理，并立即向秘书长和理事会报告。</w:t>
      </w:r>
    </w:p>
    <w:p w14:paraId="F51230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第四章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防御性操作流程与合规审查</w:t>
      </w:r>
    </w:p>
    <w:p w14:paraId="C6E9C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强制合规审查</w:t>
      </w:r>
    </w:p>
    <w:p w14:paraId="96EE92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重大事项前置合规审查机制。所有接受大额捐赠、签订重大合作协议、承接政府委托项目等可能影响法人独立或财产独立的事项，必须由法律顾问或指定合规专员进行审查，并出具书面《合规审查意见书》，作为理事会决策的必要依据。</w:t>
      </w:r>
    </w:p>
    <w:p w14:paraId="3E489B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外部指令处理流程（“双书面”原则）</w:t>
      </w:r>
    </w:p>
    <w:p w14:paraId="4F1CF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1.接收：任何可能影响本会独立运作或财产权益的外部指令，必须要求对方提供加盖公章的正式书面文件。口头指令视为无效，不予执行。</w:t>
      </w:r>
    </w:p>
    <w:p w14:paraId="3C3C29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2.评估：秘书处在收到书面指令后2个工作日内，组织法律与财务评估，并报请理事会审议。</w:t>
      </w:r>
    </w:p>
    <w:p w14:paraId="2A594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3.决策：理事会召开会议，根据法律法规、本制度及《章程》进行独立决议。</w:t>
      </w:r>
    </w:p>
    <w:p w14:paraId="B55EF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4.反馈：本会的所有反馈、异议或拒绝，必须以理事会决议为依据，出具加盖本会公章的正式书面函件（如《不予执行告知函》）。</w:t>
      </w:r>
    </w:p>
    <w:p w14:paraId="FAC70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证据链闭环管理</w:t>
      </w:r>
    </w:p>
    <w:p w14:paraId="3CEC86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设立“特殊风险事项档案”，对涉及法人独立与财产独立的争议事件，实行全流程书面记录与归档。档案应包括：外部指令文件、内部会议纪要、法律意见、合规审查意见、理事会决议、对外往来函件、财务凭证、沟通记录等，形成完整、不可篡改的证据链，永久保存。</w:t>
      </w:r>
    </w:p>
    <w:p w14:paraId="70D22A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第五章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监督、问责与保障</w:t>
      </w:r>
    </w:p>
    <w:p w14:paraId="D709C3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监督机制</w:t>
      </w:r>
    </w:p>
    <w:p w14:paraId="500562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理事会、监事会有权依据章程和本制度，对任何可能损害本会独立与财产安全的行为进行监督、质询和调查。全体员工均有义务和权利依据本制度抵制违规行为。</w:t>
      </w:r>
    </w:p>
    <w:p w14:paraId="15DB1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人员保护</w:t>
      </w:r>
    </w:p>
    <w:p w14:paraId="75069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本会承诺保护严格执行本制度的工作人员。任何员工因拒绝执行违反法律法规及本制度的指令而遭受不公正对待，本会将提供必要的法律与物质支持，并依法维护其合法权益。</w:t>
      </w:r>
    </w:p>
    <w:p w14:paraId="304F79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严厉问责</w:t>
      </w:r>
    </w:p>
    <w:p w14:paraId="7F5456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任何工作人员，包括理事、监事及专职人员，违反本制度规定，擅自接受、配合或执行损害本会法人独立或财产独立的指令，给本会造成法律风险、财产损失或声誉损害的，本会将依据内部规定予以严肃追责，包括但不限于通报批评、停职、罢免职务等；涉嫌违法犯罪的，依法移送司法机关处理。</w:t>
      </w:r>
    </w:p>
    <w:p w14:paraId="6A5007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第六章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附则</w:t>
      </w:r>
    </w:p>
    <w:p w14:paraId="9EFE3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制度解释</w:t>
      </w:r>
    </w:p>
    <w:p w14:paraId="1A2BAA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本制度经本会理事会审议通过后生效，解释权归本会理事会。</w:t>
      </w:r>
    </w:p>
    <w:p w14:paraId="972277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制度报备</w:t>
      </w:r>
    </w:p>
    <w:p w14:paraId="38B41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本制度正式文本将抄报以下单位备案，以示本会依法自治、防范风险的立场，并寻求监督与指导：</w:t>
      </w:r>
    </w:p>
    <w:p w14:paraId="2DDCC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1.抚松县民政局（登记管理机关）</w:t>
      </w:r>
    </w:p>
    <w:p w14:paraId="742296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仿宋" w:hAnsi="仿宋" w:eastAsia="仿宋" w:cs="仿宋"/>
          <w:sz w:val="32"/>
          <w:szCs w:val="32"/>
        </w:rPr>
        <w:t>2.吉林省民政厅（慈善事业促进和社会工作处、政策法规处）</w:t>
      </w:r>
    </w:p>
    <w:p w14:paraId="5A306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施行日期</w:t>
      </w:r>
    </w:p>
    <w:p w14:paraId="2121B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本制度自理事会审议通过之日起施行。</w:t>
      </w:r>
    </w:p>
    <w:p w14:paraId="4859343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sz w:val="32"/>
          <w:szCs w:val="32"/>
        </w:rPr>
      </w:pPr>
    </w:p>
    <w:p w14:paraId="453445E4">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rPr>
      </w:pPr>
    </w:p>
    <w:p w14:paraId="5CEA3F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抚松县慈善会</w:t>
      </w:r>
    </w:p>
    <w:p w14:paraId="5BB99D4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6F5C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44DF0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744DF0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5450E0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uiPriority w:val="1"/>
  </w:style>
  <w:style w:type="table" w:default="1" w:styleId="4">
    <w:name w:val="Normal Table"/>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2413</Words>
  <Characters>2448</Characters>
  <Paragraphs>117</Paragraphs>
  <TotalTime>17</TotalTime>
  <ScaleCrop>false</ScaleCrop>
  <LinksUpToDate>false</LinksUpToDate>
  <CharactersWithSpaces>2496</CharactersWithSpaces>
  <Application>WPS Office_12.8.2.18205_F1E327BC-269C-435d-A152-05C5408002CA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2026-05-11T01:16:00Z</dcterms:created>
  <dc:creator>PHW110</dc:creator>
  <cp:lastModifiedBy>Administrator</cp:lastModifiedBy>
  <dcterms:modified xsi:type="dcterms:W3CDTF">2026-05-11T01:39:07Z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B89E32B5C21D4768B4486BAC52036ABC_13</vt:lpwstr>
  </property>
  <property fmtid="{D5CDD505-2E9C-101B-9397-08002B2CF9AE}" pid="3" name="KSOProductBuildVer">
    <vt:lpwstr>2052-12.8.2.18205</vt:lpwstr>
  </property>
</Properties>
</file>