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A7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88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抚松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县慈善会内部管理制度</w:t>
      </w:r>
    </w:p>
    <w:p w14:paraId="347F6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总则</w:t>
      </w:r>
    </w:p>
    <w:p w14:paraId="08231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目的与依据</w:t>
      </w:r>
    </w:p>
    <w:p w14:paraId="57BE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为规范本慈善会（以下简称“本会”）的运作和管理，确保资金和物资的安全、合规、高效使用，提升公信力，促进慈善事业健康发展，根据《中华人民共和国慈善法》、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《吉林省慈善条例》、</w:t>
      </w:r>
      <w:r>
        <w:rPr>
          <w:rFonts w:hint="eastAsia" w:ascii="仿宋" w:hAnsi="仿宋" w:eastAsia="仿宋" w:cs="仿宋"/>
          <w:sz w:val="32"/>
          <w:szCs w:val="32"/>
        </w:rPr>
        <w:t>《社会团体登记管理条例》、《民间非营利组织会计制度》等国家法律法规及本会《章程》，特制定本制度。</w:t>
      </w:r>
    </w:p>
    <w:p w14:paraId="3B02D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适用范围</w:t>
      </w:r>
    </w:p>
    <w:p w14:paraId="0C8ED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本制度适用于本会所有工作人员（包括专职、兼职及志愿者）、理事会成员、监事以及参与本会项目的所有相关方。</w:t>
      </w:r>
    </w:p>
    <w:p w14:paraId="6FC4C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内部控制目标</w:t>
      </w:r>
    </w:p>
    <w:p w14:paraId="04BB1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1.合法合规：确保所有活动在法律框架和章程范围内进行。</w:t>
      </w:r>
    </w:p>
    <w:p w14:paraId="65CC8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2.资产安全：保障各类捐赠财产的安全、完整与保值。</w:t>
      </w:r>
    </w:p>
    <w:p w14:paraId="12CF3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3.运营高效：提高慈善资源的配置和使用效率。</w:t>
      </w:r>
    </w:p>
    <w:p w14:paraId="647D0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4.信息真实：保证会计信息及业务信息的真实、准确、完整。</w:t>
      </w:r>
    </w:p>
    <w:p w14:paraId="765B8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5.公开透明：建立有效的信息披露机制，主动接受社会监督。</w:t>
      </w:r>
    </w:p>
    <w:p w14:paraId="25786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组织机构与职责分工</w:t>
      </w:r>
    </w:p>
    <w:p w14:paraId="593E2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决策机构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</w:rPr>
        <w:t>理事会</w:t>
      </w:r>
    </w:p>
    <w:p w14:paraId="00A8E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1.理事会是本会的最高决策机构，负责审议和批准年度工作计划、预算、决算、重大募捐和投资活动、内部管理制度等。</w:t>
      </w:r>
    </w:p>
    <w:p w14:paraId="400F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2.理事会会议须有2/3以上理事出席方能召开，其决议须经到会理事2/3以上表决通过方能生效。重大事项（如修改章程、分立合并等）需按规定报业务主管单位和登记管理机关批准。</w:t>
      </w:r>
    </w:p>
    <w:p w14:paraId="54DA5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3.理事会应建立薪酬与绩效委员会、项目评审委员会等专门委员会，提高决策专业性。</w:t>
      </w:r>
    </w:p>
    <w:p w14:paraId="74F72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监督机构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</w:rPr>
        <w:t>监事会</w:t>
      </w:r>
    </w:p>
    <w:p w14:paraId="29B95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1.监事会负责监督理事会和秘书处的履职情况、财务活动、项目执行等。</w:t>
      </w:r>
    </w:p>
    <w:p w14:paraId="25CE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2.监事会有权列席理事会会议，对决议事项提出质询或建议，并可独立聘请会计师事务所对本会财务状况进行审计。</w:t>
      </w:r>
    </w:p>
    <w:p w14:paraId="65102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3.监事会每年应向会员代表大会（或理事会）提交年度监督报告。</w:t>
      </w:r>
    </w:p>
    <w:p w14:paraId="1AAE9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执行机构-秘书处</w:t>
      </w:r>
    </w:p>
    <w:p w14:paraId="2A316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1.秘书处是理事会的执行机构，负责本会的日常运营和管理。</w:t>
      </w:r>
    </w:p>
    <w:p w14:paraId="02EE3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2.设立秘书长一名，主持秘书处工作。根据业务需要，可设立以下职能部门：</w:t>
      </w:r>
    </w:p>
    <w:p w14:paraId="0781C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·办公室：负责行政、文秘、人事、档案、后勤等。</w:t>
      </w:r>
    </w:p>
    <w:p w14:paraId="7C8D9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·募捐部：负责募捐活动的策划、执行和捐赠人维护。</w:t>
      </w:r>
    </w:p>
    <w:p w14:paraId="290E0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·项目部：负责慈善项目的开发、评审、执行、监测与评估。</w:t>
      </w:r>
    </w:p>
    <w:p w14:paraId="119CB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·财务部：负责会计核算、资金管理、编制报表、纳税申报等。</w:t>
      </w:r>
    </w:p>
    <w:p w14:paraId="252FB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·宣传部：负责品牌建设、信息公开、媒体关系和公众沟通。</w:t>
      </w:r>
    </w:p>
    <w:p w14:paraId="7F4F7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关键岗位职责分离</w:t>
      </w:r>
    </w:p>
    <w:p w14:paraId="53854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为确保有效制衡，以下不相容岗位必须分离：</w:t>
      </w:r>
    </w:p>
    <w:p w14:paraId="59F31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1.捐赠款项的接收与记账人员分离。</w:t>
      </w:r>
    </w:p>
    <w:p w14:paraId="69609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2.资金支付的审批、执行与记账人员分离。</w:t>
      </w:r>
    </w:p>
    <w:p w14:paraId="1F25D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3.物资的采购、验收与保管人员分离。</w:t>
      </w:r>
    </w:p>
    <w:p w14:paraId="74CBA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4.项目审批与项目执行人员分离。</w:t>
      </w:r>
    </w:p>
    <w:p w14:paraId="48E4A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具体业务活动控制</w:t>
      </w:r>
    </w:p>
    <w:p w14:paraId="040D7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募捐管理</w:t>
      </w:r>
    </w:p>
    <w:p w14:paraId="6BAEF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1.所有公开募捐活动必须事先制定方案，报理事会或授权机构批准，并取得公开募捐资格证书。</w:t>
      </w:r>
    </w:p>
    <w:p w14:paraId="30C63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2.严格使用统一的捐赠账户和捐赠渠道，及时向捐赠人开具合法有效的捐赠票据。</w:t>
      </w:r>
    </w:p>
    <w:p w14:paraId="55DD4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3.建立捐赠款物台账，详细记录捐赠人信息、捐赠时间、金额/物资种类、用途约定等。</w:t>
      </w:r>
    </w:p>
    <w:p w14:paraId="08947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4.尊重捐赠人意愿，如需改变用途，须征得捐赠人书面同意。</w:t>
      </w:r>
    </w:p>
    <w:p w14:paraId="0A7D4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第九条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财务管理</w:t>
      </w:r>
    </w:p>
    <w:p w14:paraId="1EE25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1.账户管理：银行账户必须按规定开立和使用，严禁公款私存。</w:t>
      </w:r>
    </w:p>
    <w:p w14:paraId="49FDD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2.预算管理：实行全面预算管理，年度预算须经理事会批准。超预算或预算外支出需履行追加审批程序。</w:t>
      </w:r>
    </w:p>
    <w:p w14:paraId="70916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3.审批权限：建立分级资金使用授权审批制度。</w:t>
      </w:r>
    </w:p>
    <w:p w14:paraId="48F7D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·小额日常开支（如：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一万</w:t>
      </w:r>
      <w:r>
        <w:rPr>
          <w:rFonts w:hint="eastAsia" w:ascii="仿宋" w:hAnsi="仿宋" w:eastAsia="仿宋" w:cs="仿宋"/>
          <w:sz w:val="32"/>
          <w:szCs w:val="32"/>
        </w:rPr>
        <w:t>元以下）由秘书长审批。</w:t>
      </w:r>
    </w:p>
    <w:p w14:paraId="02712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·大额项目支出（如：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一万</w:t>
      </w:r>
      <w:r>
        <w:rPr>
          <w:rFonts w:hint="eastAsia" w:ascii="仿宋" w:hAnsi="仿宋" w:eastAsia="仿宋" w:cs="仿宋"/>
          <w:sz w:val="32"/>
          <w:szCs w:val="32"/>
        </w:rPr>
        <w:t>元至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十万</w:t>
      </w:r>
      <w:r>
        <w:rPr>
          <w:rFonts w:hint="eastAsia" w:ascii="仿宋" w:hAnsi="仿宋" w:eastAsia="仿宋" w:cs="仿宋"/>
          <w:sz w:val="32"/>
          <w:szCs w:val="32"/>
        </w:rPr>
        <w:t>元）由秘书长审核后，报理事长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或主管副理事长</w:t>
      </w:r>
      <w:r>
        <w:rPr>
          <w:rFonts w:hint="eastAsia" w:ascii="仿宋" w:hAnsi="仿宋" w:eastAsia="仿宋" w:cs="仿宋"/>
          <w:sz w:val="32"/>
          <w:szCs w:val="32"/>
        </w:rPr>
        <w:t>审批。</w:t>
      </w:r>
    </w:p>
    <w:p w14:paraId="3455E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·重大支出（如：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三十万</w:t>
      </w:r>
      <w:r>
        <w:rPr>
          <w:rFonts w:hint="eastAsia" w:ascii="仿宋" w:hAnsi="仿宋" w:eastAsia="仿宋" w:cs="仿宋"/>
          <w:sz w:val="32"/>
          <w:szCs w:val="32"/>
        </w:rPr>
        <w:t>元以上）须报理事会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（常务理事会）</w:t>
      </w:r>
      <w:r>
        <w:rPr>
          <w:rFonts w:hint="eastAsia" w:ascii="仿宋" w:hAnsi="仿宋" w:eastAsia="仿宋" w:cs="仿宋"/>
          <w:sz w:val="32"/>
          <w:szCs w:val="32"/>
        </w:rPr>
        <w:t>集体审议批准。</w:t>
      </w:r>
    </w:p>
    <w:p w14:paraId="51140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4.报销流程：所有报销必须凭合规的原始凭证（发票、合同、验收单等），填写报销单，经经办人、证明人、部门负责人、财务审核、领导审批后方可支付。</w:t>
      </w:r>
    </w:p>
    <w:p w14:paraId="29900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5.现金管理：严格控制现金使用，做到日清月结，确保账款相符。</w:t>
      </w:r>
    </w:p>
    <w:p w14:paraId="7FBF0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6.投资管理：慈善财产的投资必须遵循合法、安全、有效的原则，仅限于银行存款、购买国债、低风险理财产品等，重大投资方案须经理事会批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准，并接受监事会监督。</w:t>
      </w:r>
    </w:p>
    <w:p w14:paraId="5327E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项目管理</w:t>
      </w:r>
    </w:p>
    <w:p w14:paraId="4BCD4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1.项目立项：基于调研和需求评估进行立项，提交包含目标、预算、实施方案的《项目建议书》，由项目评审委员会评审。</w:t>
      </w:r>
    </w:p>
    <w:p w14:paraId="1D644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2.项目审批：按规定权限审批，重大项目报理事会批准。</w:t>
      </w:r>
    </w:p>
    <w:p w14:paraId="5E011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3.项目执行：签订项目协议，按计划拨付资金，定期进行现场监测和督导。</w:t>
      </w:r>
    </w:p>
    <w:p w14:paraId="1680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4.项目评估：项目结束后，必须进行终期评估，形成评估报告。对资助款物使用情况进行专项审计。</w:t>
      </w:r>
    </w:p>
    <w:p w14:paraId="266CB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5.档案管理：每个项目从立项到结项的所有文件（申请书、协议、拨款记录、活动照片、报告、评估等）须完整归档。</w:t>
      </w:r>
    </w:p>
    <w:p w14:paraId="4E3E5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第十一条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物资管理</w:t>
      </w:r>
    </w:p>
    <w:p w14:paraId="5DB0F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1.建立捐赠物资入库、出库台账，做到账实相符。</w:t>
      </w:r>
    </w:p>
    <w:p w14:paraId="331D4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2.物资入库须由两人以上验收、签字；出库须凭有效的审批单。</w:t>
      </w:r>
    </w:p>
    <w:p w14:paraId="3EF1C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3.定期对库存物资进行盘点，盘点差异需查明原因并按规定处理。</w:t>
      </w:r>
    </w:p>
    <w:p w14:paraId="1F103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第十二条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信息与公开</w:t>
      </w:r>
    </w:p>
    <w:p w14:paraId="7F68A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1.建立信息公开制度，在民政部门指定的信息平台及本会官网、公众号等渠道，及时、完整地公开以下信息：</w:t>
      </w:r>
    </w:p>
    <w:p w14:paraId="00743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·组织章程、组织机构成员信息。</w:t>
      </w:r>
    </w:p>
    <w:p w14:paraId="17AFE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·年度工作报告和财务审计报告。</w:t>
      </w:r>
    </w:p>
    <w:p w14:paraId="37B77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·募捐情况、慈善项目实施情况。</w:t>
      </w:r>
    </w:p>
    <w:p w14:paraId="3FA55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·受益人的申请和评审程序、最终确定结果。</w:t>
      </w:r>
    </w:p>
    <w:p w14:paraId="136D3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·法律法规要求公开的其他信息。</w:t>
      </w:r>
    </w:p>
    <w:p w14:paraId="0D8D3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2.公开募捐活动周期超过六个月的，至少每三个月公开一次募得款物情况、已使用的款物情况等。</w:t>
      </w:r>
    </w:p>
    <w:p w14:paraId="2804D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监督与问责</w:t>
      </w:r>
    </w:p>
    <w:p w14:paraId="3A187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第十三条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内部监督</w:t>
      </w:r>
    </w:p>
    <w:p w14:paraId="49C0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1.监事会行使日常监督权。</w:t>
      </w:r>
    </w:p>
    <w:p w14:paraId="6F102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2.财务部定期（每月/每季度）向理事长、秘书长和监事会提交财务报告。</w:t>
      </w:r>
    </w:p>
    <w:p w14:paraId="7586E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3.建立内部审计机制，可委托第三方会计师事务所进行年度审计和专项审计。</w:t>
      </w:r>
    </w:p>
    <w:p w14:paraId="02370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外部监督</w:t>
      </w:r>
    </w:p>
    <w:p w14:paraId="28D48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1.自觉接受业务主管单位（如有）、登记管理机关（民政局）和审计、税务等部门的监督检查。</w:t>
      </w:r>
    </w:p>
    <w:p w14:paraId="2ECB5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2.畅通社会监督渠道，公布投诉电话和邮箱，对收到的质询和投诉应在15个工作日内予以答复。</w:t>
      </w:r>
    </w:p>
    <w:p w14:paraId="2E648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第十五条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问责机制</w:t>
      </w:r>
    </w:p>
    <w:p w14:paraId="60028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对违反本制度、本会章程或国家法律法规的行为，视情节轻重给予相应处理：</w:t>
      </w:r>
    </w:p>
    <w:p w14:paraId="01234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1.对工作人员：进行批评教育、通报批评、扣除绩效、解除劳动合同等。</w:t>
      </w:r>
    </w:p>
    <w:p w14:paraId="16D2A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2.对理事、监事：由理事会或会员代表大会依据章程进行处理，直至罢免。</w:t>
      </w:r>
    </w:p>
    <w:p w14:paraId="2AF90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3.涉及违法犯罪的，依法移送司法机关处理。</w:t>
      </w:r>
    </w:p>
    <w:p w14:paraId="07540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附则</w:t>
      </w:r>
    </w:p>
    <w:p w14:paraId="6FFAB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第十六条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制度解释</w:t>
      </w:r>
    </w:p>
    <w:p w14:paraId="50DD3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本制度的最终解释权归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抚松</w:t>
      </w:r>
      <w:r>
        <w:rPr>
          <w:rFonts w:hint="eastAsia" w:ascii="仿宋" w:hAnsi="仿宋" w:eastAsia="仿宋" w:cs="仿宋"/>
          <w:sz w:val="32"/>
          <w:szCs w:val="32"/>
        </w:rPr>
        <w:t>县慈善会理事会。</w:t>
      </w:r>
    </w:p>
    <w:p w14:paraId="72074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第十七条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生效与修订</w:t>
      </w:r>
    </w:p>
    <w:p w14:paraId="6D7D3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本制度自理事会审议通过之日起生效。修订时，需由秘书处提出修订草案，报理事会审议批准。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2024年9月5日，依据《中华人民共和国慈善法》（新修版）和《吉林省慈善条例》修订。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745AA"/>
    <w:rsid w:val="2E285B3C"/>
    <w:rsid w:val="553745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吉林分公司</Company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2025-10-13T05:06:00Z</dcterms:created>
  <dc:creator>Administrator</dc:creator>
  <cp:lastModifiedBy>Administrator</cp:lastModifiedBy>
  <dcterms:modified xsi:type="dcterms:W3CDTF">2025-10-13T05:31:27Z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9AD423D5709F41E3B61E2BEA76B894C4_11</vt:lpwstr>
  </property>
</Properties>
</file>