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东营市慈善总会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费用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支出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事项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center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日</w:t>
      </w:r>
    </w:p>
    <w:tbl>
      <w:tblPr>
        <w:tblStyle w:val="3"/>
        <w:tblW w:w="9062" w:type="dxa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771"/>
        <w:gridCol w:w="2104"/>
        <w:gridCol w:w="2369"/>
      </w:tblGrid>
      <w:tr>
        <w:trPr>
          <w:trHeight w:val="632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支出事项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依据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责任部室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综合部审核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财务负责人意见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ind w:firstLine="560" w:firstLineChars="20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签名：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秘书长意见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both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签名：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分管业务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副会长意见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签名：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常务副会长意见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textAlignment w:val="top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1.此表作为资金支出、财务部门报销的凭证。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2.同一个项目需要分批支付的以总金额为准。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3.实际支出金额原则上不得超过预算支出金额。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</w:pPr>
      <w:r>
        <w:rPr>
          <w:rFonts w:hint="eastAsia" w:ascii="仿宋_GB2312" w:hAnsi="宋体" w:eastAsia="仿宋_GB2312"/>
          <w:sz w:val="28"/>
          <w:szCs w:val="28"/>
        </w:rPr>
        <w:t>4.差旅费、会议费、培训费支出不适用此单。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22500B5A"/>
    <w:rsid w:val="2250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2024-08-14T09:16:00Z</dcterms:created>
  <dc:creator>Administrator</dc:creator>
  <cp:lastModifiedBy>Administrator</cp:lastModifiedBy>
  <dcterms:modified xsi:type="dcterms:W3CDTF">2024-08-14T09:16:50Z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991D1A9E774148419152012E4E2AB3C0_11</vt:lpwstr>
  </property>
</Properties>
</file>