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731C4D">
      <w:pPr>
        <w:pStyle w:val="9"/>
        <w:keepNext w:val="0"/>
        <w:keepLines w:val="0"/>
        <w:pageBreakBefore w:val="0"/>
        <w:widowControl w:val="0"/>
        <w:shd w:val="clear"/>
        <w:kinsoku/>
        <w:wordWrap/>
        <w:overflowPunct w:val="0"/>
        <w:topLinePunct w:val="0"/>
        <w:bidi w:val="0"/>
        <w:adjustRightInd/>
        <w:snapToGrid/>
        <w:spacing w:before="0" w:beforeAutospacing="0" w:after="0" w:afterAutospacing="0" w:line="600" w:lineRule="exact"/>
        <w:ind w:left="0" w:leftChars="0" w:right="0" w:rightChars="0"/>
        <w:jc w:val="center"/>
        <w:rPr>
          <w:rFonts w:hint="default" w:ascii="Times New Roman" w:hAnsi="Times New Roman" w:eastAsia="方正小标宋简体" w:cs="Times New Roman"/>
          <w:color w:val="000000"/>
          <w:sz w:val="44"/>
          <w:szCs w:val="44"/>
          <w:lang w:val="en-US" w:eastAsia="zh-CN"/>
        </w:rPr>
      </w:pPr>
      <w:bookmarkStart w:id="0" w:name="_GoBack"/>
      <w:bookmarkEnd w:id="0"/>
      <w:r>
        <w:rPr>
          <w:rFonts w:hint="default" w:ascii="Times New Roman" w:hAnsi="Times New Roman" w:eastAsia="方正小标宋简体" w:cs="Times New Roman"/>
          <w:color w:val="000000"/>
          <w:sz w:val="44"/>
          <w:szCs w:val="44"/>
          <w:lang w:val="en-US" w:eastAsia="zh-CN"/>
        </w:rPr>
        <w:t>长沙市慈善总会财务管理制度</w:t>
      </w:r>
    </w:p>
    <w:p w14:paraId="729E094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02" w:firstLineChars="200"/>
        <w:jc w:val="both"/>
        <w:rPr>
          <w:rFonts w:hint="default" w:ascii="Times New Roman" w:hAnsi="Times New Roman" w:eastAsia="仿宋_GB2312" w:cs="Times New Roman"/>
          <w:b/>
          <w:bCs/>
          <w:color w:val="000000"/>
          <w:sz w:val="30"/>
          <w:szCs w:val="30"/>
          <w:lang w:val="en-US" w:eastAsia="zh-CN"/>
        </w:rPr>
      </w:pPr>
    </w:p>
    <w:p w14:paraId="5DBC10E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default" w:ascii="Times New Roman" w:hAnsi="Times New Roman" w:eastAsia="仿宋_GB2312" w:cs="Times New Roman"/>
          <w:b/>
          <w:bCs/>
          <w:color w:val="000000"/>
          <w:sz w:val="30"/>
          <w:szCs w:val="30"/>
          <w:lang w:val="en-US" w:eastAsia="zh-CN"/>
        </w:rPr>
      </w:pPr>
      <w:r>
        <w:rPr>
          <w:rStyle w:val="14"/>
          <w:rFonts w:hint="default" w:ascii="黑体" w:hAnsi="黑体" w:eastAsia="黑体" w:cs="黑体"/>
          <w:b w:val="0"/>
          <w:bCs/>
          <w:color w:val="auto"/>
          <w:kern w:val="0"/>
          <w:sz w:val="32"/>
          <w:szCs w:val="32"/>
          <w:shd w:val="clear" w:color="auto" w:fill="FFFFFF"/>
          <w:lang w:val="en-US" w:eastAsia="zh-CN" w:bidi="ar"/>
        </w:rPr>
        <w:t>第一章</w:t>
      </w:r>
      <w:r>
        <w:rPr>
          <w:rStyle w:val="14"/>
          <w:rFonts w:hint="eastAsia" w:ascii="黑体" w:hAnsi="黑体" w:eastAsia="黑体" w:cs="黑体"/>
          <w:b w:val="0"/>
          <w:bCs/>
          <w:color w:val="auto"/>
          <w:kern w:val="0"/>
          <w:sz w:val="32"/>
          <w:szCs w:val="32"/>
          <w:shd w:val="clear" w:color="auto" w:fill="FFFFFF"/>
          <w:lang w:val="en-US" w:eastAsia="zh-CN" w:bidi="ar"/>
        </w:rPr>
        <w:t xml:space="preserve"> </w:t>
      </w:r>
      <w:r>
        <w:rPr>
          <w:rStyle w:val="14"/>
          <w:rFonts w:hint="default" w:ascii="黑体" w:hAnsi="黑体" w:eastAsia="黑体" w:cs="黑体"/>
          <w:b w:val="0"/>
          <w:bCs/>
          <w:color w:val="auto"/>
          <w:kern w:val="0"/>
          <w:sz w:val="32"/>
          <w:szCs w:val="32"/>
          <w:shd w:val="clear" w:color="auto" w:fill="FFFFFF"/>
          <w:lang w:val="en-US" w:eastAsia="zh-CN" w:bidi="ar"/>
        </w:rPr>
        <w:t>总则</w:t>
      </w:r>
    </w:p>
    <w:p w14:paraId="0699E2A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第一条 </w:t>
      </w:r>
      <w:r>
        <w:rPr>
          <w:rFonts w:hint="eastAsia" w:ascii="仿宋_GB2312" w:hAnsi="仿宋_GB2312" w:eastAsia="仿宋_GB2312" w:cs="仿宋_GB2312"/>
          <w:color w:val="000000"/>
          <w:sz w:val="32"/>
          <w:szCs w:val="32"/>
          <w:lang w:val="en-US" w:eastAsia="zh-CN"/>
        </w:rPr>
        <w:t>为进一步规范长沙市慈善总会（以下简称“本会”）的财务管理，提高资金使用效益，根据《中华人民共和国慈善法》《民间非营利组织会计制度》《长沙市民政局局属事业单位财务管理办法》和本会章程规定，制定本制度。</w:t>
      </w:r>
    </w:p>
    <w:p w14:paraId="610AF3E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第二条 </w:t>
      </w:r>
      <w:r>
        <w:rPr>
          <w:rFonts w:hint="eastAsia" w:ascii="仿宋_GB2312" w:hAnsi="仿宋_GB2312" w:eastAsia="仿宋_GB2312" w:cs="仿宋_GB2312"/>
          <w:color w:val="000000"/>
          <w:sz w:val="32"/>
          <w:szCs w:val="32"/>
          <w:lang w:val="en-US" w:eastAsia="zh-CN"/>
        </w:rPr>
        <w:t>本制度适用于本会的各项财务管理工作。</w:t>
      </w:r>
    </w:p>
    <w:p w14:paraId="381D95F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第三条 </w:t>
      </w:r>
      <w:r>
        <w:rPr>
          <w:rFonts w:hint="eastAsia" w:ascii="仿宋_GB2312" w:hAnsi="仿宋_GB2312" w:eastAsia="仿宋_GB2312" w:cs="仿宋_GB2312"/>
          <w:color w:val="000000"/>
          <w:sz w:val="32"/>
          <w:szCs w:val="32"/>
          <w:lang w:val="en-US" w:eastAsia="zh-CN"/>
        </w:rPr>
        <w:t>财务管理坚持依法理财、严格规范、勤俭节约、公开透明的原则，重大财务事项必须经市慈善事务中心支委会集体研究决定，切实做到专款专用，坚决杜绝铺张浪费。</w:t>
      </w:r>
    </w:p>
    <w:p w14:paraId="7292322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第四条 </w:t>
      </w:r>
      <w:r>
        <w:rPr>
          <w:rFonts w:hint="eastAsia" w:ascii="仿宋_GB2312" w:hAnsi="仿宋_GB2312" w:eastAsia="仿宋_GB2312" w:cs="仿宋_GB2312"/>
          <w:color w:val="000000"/>
          <w:sz w:val="32"/>
          <w:szCs w:val="32"/>
          <w:lang w:val="en-US" w:eastAsia="zh-CN"/>
        </w:rPr>
        <w:t>本会一切财务收支活动归口财务部统一预算、统一管理。</w:t>
      </w:r>
    </w:p>
    <w:p w14:paraId="0BA582D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b w:val="0"/>
          <w:bCs w:val="0"/>
          <w:color w:val="000000"/>
          <w:sz w:val="32"/>
          <w:szCs w:val="32"/>
          <w:lang w:val="en-US" w:eastAsia="zh-CN"/>
        </w:rPr>
      </w:pPr>
    </w:p>
    <w:p w14:paraId="5761E92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第二章 机构职能及财务人员职责</w:t>
      </w:r>
    </w:p>
    <w:p w14:paraId="7A8A2A3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第五条 </w:t>
      </w:r>
      <w:r>
        <w:rPr>
          <w:rFonts w:hint="eastAsia" w:ascii="仿宋_GB2312" w:hAnsi="仿宋_GB2312" w:eastAsia="仿宋_GB2312" w:cs="仿宋_GB2312"/>
          <w:color w:val="000000"/>
          <w:sz w:val="32"/>
          <w:szCs w:val="32"/>
          <w:lang w:val="en-US" w:eastAsia="zh-CN"/>
        </w:rPr>
        <w:t>财务部工作职能：</w:t>
      </w:r>
    </w:p>
    <w:p w14:paraId="5F4F328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（一）建立健全财务管理制度和操作规程，加强经济核算，如实反映本会的财务状况；</w:t>
      </w:r>
    </w:p>
    <w:p w14:paraId="2BF4199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（二）合理编制本会年度收支预算和项目资金使用计划，并对预算执行过程进行管理和控制；</w:t>
      </w:r>
    </w:p>
    <w:p w14:paraId="7828F27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（三）管理本会各项经费收支，合理使用和安排各项资金，提高资金使用效益；</w:t>
      </w:r>
    </w:p>
    <w:p w14:paraId="74253F3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（四）按制度要求定期公开本会各项财务信息及捐赠救助情况；</w:t>
      </w:r>
    </w:p>
    <w:p w14:paraId="1370166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（五）提出慈善基金保值增值计划和方案，合理选购理财产品，确保基金安全增值，实现基金增值最大化；</w:t>
      </w:r>
    </w:p>
    <w:p w14:paraId="7EE5F22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（六）定期监督和检查资金使用情况和合同履约情况；</w:t>
      </w:r>
    </w:p>
    <w:p w14:paraId="15D156E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（七）开展财务分析，及时、准确披露财务信息，提高本会财务工作透明度。</w:t>
      </w:r>
    </w:p>
    <w:p w14:paraId="52936B9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第六条 </w:t>
      </w:r>
      <w:r>
        <w:rPr>
          <w:rFonts w:hint="eastAsia" w:ascii="仿宋_GB2312" w:hAnsi="仿宋_GB2312" w:eastAsia="仿宋_GB2312" w:cs="仿宋_GB2312"/>
          <w:color w:val="000000"/>
          <w:sz w:val="32"/>
          <w:szCs w:val="32"/>
          <w:lang w:val="en-US" w:eastAsia="zh-CN"/>
        </w:rPr>
        <w:t>本会设专职财务人员。财务人员应坚持原则，严格按国家有关财经法规、财务制度办事，杜绝违反财经法规、制度和有损本会声誉的行为。</w:t>
      </w:r>
    </w:p>
    <w:p w14:paraId="213EEF7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第七条 </w:t>
      </w:r>
      <w:r>
        <w:rPr>
          <w:rFonts w:hint="eastAsia" w:ascii="仿宋_GB2312" w:hAnsi="仿宋_GB2312" w:eastAsia="仿宋_GB2312" w:cs="仿宋_GB2312"/>
          <w:color w:val="000000"/>
          <w:sz w:val="32"/>
          <w:szCs w:val="32"/>
          <w:lang w:val="en-US" w:eastAsia="zh-CN"/>
        </w:rPr>
        <w:t>财务部长工作职责：</w:t>
      </w:r>
    </w:p>
    <w:p w14:paraId="4FD9A9E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（一）负责拟定财务管理制度和操作规程；</w:t>
      </w:r>
    </w:p>
    <w:p w14:paraId="77E25C0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（二）负责与财政、审计、税务等部门的协调工作；</w:t>
      </w:r>
    </w:p>
    <w:p w14:paraId="558D27E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（三）负责劝募资金入账、善款善物和慈善资金管理工作；</w:t>
      </w:r>
    </w:p>
    <w:p w14:paraId="5391930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（四）负责本会资金使用的审核把关工作；</w:t>
      </w:r>
    </w:p>
    <w:p w14:paraId="71AB994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（五）负责固定资产管理工作。</w:t>
      </w:r>
    </w:p>
    <w:p w14:paraId="4F483A7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第八条 </w:t>
      </w:r>
      <w:r>
        <w:rPr>
          <w:rFonts w:hint="eastAsia" w:ascii="仿宋_GB2312" w:hAnsi="仿宋_GB2312" w:eastAsia="仿宋_GB2312" w:cs="仿宋_GB2312"/>
          <w:color w:val="000000"/>
          <w:sz w:val="32"/>
          <w:szCs w:val="32"/>
          <w:lang w:val="en-US" w:eastAsia="zh-CN"/>
        </w:rPr>
        <w:t>会计工作职责：</w:t>
      </w:r>
    </w:p>
    <w:p w14:paraId="3C4B4F1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（一）负责汇总编制年度收支预算和资金使用计划；</w:t>
      </w:r>
    </w:p>
    <w:p w14:paraId="79B3064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（二）负责审核本会的报销原始单据、编制、审核、整理、装订和保管会计凭证；</w:t>
      </w:r>
    </w:p>
    <w:p w14:paraId="25AC4E3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（三）负责管理会计账套，编制会计账簿、会计报表和年度财务报告；</w:t>
      </w:r>
    </w:p>
    <w:p w14:paraId="319AB18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（四）负责本会税务申报；</w:t>
      </w:r>
    </w:p>
    <w:p w14:paraId="1918D36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（五）负责保管会计凭证、账簿和财务报告等会计档案；</w:t>
      </w:r>
    </w:p>
    <w:p w14:paraId="69A40BB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（六）负责定期编制项目收支表、运行经费明细表、捐赠榜；</w:t>
      </w:r>
    </w:p>
    <w:p w14:paraId="7ED644A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（七）负责保管本会法人私章。</w:t>
      </w:r>
    </w:p>
    <w:p w14:paraId="6B30059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第九条 </w:t>
      </w:r>
      <w:r>
        <w:rPr>
          <w:rFonts w:hint="eastAsia" w:ascii="仿宋_GB2312" w:hAnsi="仿宋_GB2312" w:eastAsia="仿宋_GB2312" w:cs="仿宋_GB2312"/>
          <w:color w:val="000000"/>
          <w:sz w:val="32"/>
          <w:szCs w:val="32"/>
          <w:lang w:val="en-US" w:eastAsia="zh-CN"/>
        </w:rPr>
        <w:t>出纳工作职责：</w:t>
      </w:r>
    </w:p>
    <w:p w14:paraId="4C98C5B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（一）负责在规定的开支范围内支付现金；</w:t>
      </w:r>
    </w:p>
    <w:p w14:paraId="3D8DEE4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（二）负责按规定办理银行存取款和各类费用结算业务；</w:t>
      </w:r>
    </w:p>
    <w:p w14:paraId="3F35D64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（三）负责按期编制现金和银行存款日记账，定期进行现金盘点和银行对账，保证账实相符、账账相符；</w:t>
      </w:r>
    </w:p>
    <w:p w14:paraId="6909EDD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（四）负责银行结算票据、发票收据和其他票据的登记、领购、填制、保管、回收和缴销；</w:t>
      </w:r>
    </w:p>
    <w:p w14:paraId="21F251E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（五）负责定期编制救助榜及项目支出明细；</w:t>
      </w:r>
    </w:p>
    <w:p w14:paraId="6243CFE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（六）负责保管本会财务专用章。</w:t>
      </w:r>
    </w:p>
    <w:p w14:paraId="14E4F90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78F590E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第三章 年度预算管理</w:t>
      </w:r>
    </w:p>
    <w:p w14:paraId="4924868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第十条 </w:t>
      </w:r>
      <w:r>
        <w:rPr>
          <w:rFonts w:hint="eastAsia" w:ascii="仿宋_GB2312" w:hAnsi="仿宋_GB2312" w:eastAsia="仿宋_GB2312" w:cs="仿宋_GB2312"/>
          <w:color w:val="000000"/>
          <w:sz w:val="32"/>
          <w:szCs w:val="32"/>
          <w:lang w:val="en-US" w:eastAsia="zh-CN"/>
        </w:rPr>
        <w:t>财务部每年根据本会的事业发展计划和工作安排编制年度收支预算和项目资金使用计划。编制应遵循统筹兼顾、确保重点、厉行节约、注重实效、量入为出、积极稳妥的原则。</w:t>
      </w:r>
    </w:p>
    <w:p w14:paraId="75AE278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第十一条 </w:t>
      </w:r>
      <w:r>
        <w:rPr>
          <w:rFonts w:hint="eastAsia" w:ascii="仿宋_GB2312" w:hAnsi="仿宋_GB2312" w:eastAsia="仿宋_GB2312" w:cs="仿宋_GB2312"/>
          <w:color w:val="000000"/>
          <w:sz w:val="32"/>
          <w:szCs w:val="32"/>
          <w:lang w:val="en-US" w:eastAsia="zh-CN"/>
        </w:rPr>
        <w:t>财务部在每年年末会同其他部门根据本会次年的事业发展计划和工作安排，结合本年度资金使用情况，编制下一年度的收支预算草案，经市慈善事务中心支委会研究同意后，报本会秘书长、</w:t>
      </w:r>
      <w:r>
        <w:rPr>
          <w:rFonts w:hint="eastAsia" w:ascii="仿宋_GB2312" w:hAnsi="仿宋_GB2312" w:eastAsia="仿宋_GB2312" w:cs="仿宋_GB2312"/>
          <w:color w:val="auto"/>
          <w:sz w:val="32"/>
          <w:szCs w:val="32"/>
          <w:lang w:val="en-US" w:eastAsia="zh-CN"/>
        </w:rPr>
        <w:t>常务副会长和</w:t>
      </w:r>
      <w:r>
        <w:rPr>
          <w:rFonts w:hint="eastAsia" w:ascii="仿宋_GB2312" w:hAnsi="仿宋_GB2312" w:eastAsia="仿宋_GB2312" w:cs="仿宋_GB2312"/>
          <w:color w:val="000000"/>
          <w:sz w:val="32"/>
          <w:szCs w:val="32"/>
          <w:lang w:val="en-US" w:eastAsia="zh-CN"/>
        </w:rPr>
        <w:t>会长审核，经本会会长办公会审批通过后执行。</w:t>
      </w:r>
    </w:p>
    <w:p w14:paraId="25DECDA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第十二条 </w:t>
      </w:r>
      <w:r>
        <w:rPr>
          <w:rFonts w:hint="eastAsia" w:ascii="仿宋_GB2312" w:hAnsi="仿宋_GB2312" w:eastAsia="仿宋_GB2312" w:cs="仿宋_GB2312"/>
          <w:color w:val="000000"/>
          <w:sz w:val="32"/>
          <w:szCs w:val="32"/>
          <w:lang w:val="en-US" w:eastAsia="zh-CN"/>
        </w:rPr>
        <w:t>预算经批准下达后，各部门必须严格遵照执行，不得随意变更，财务部定期或不定期对预算执行情况予以检查，及时纠偏。</w:t>
      </w:r>
    </w:p>
    <w:p w14:paraId="48F74E1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第十三条 </w:t>
      </w:r>
      <w:r>
        <w:rPr>
          <w:rFonts w:hint="eastAsia" w:ascii="仿宋_GB2312" w:hAnsi="仿宋_GB2312" w:eastAsia="仿宋_GB2312" w:cs="仿宋_GB2312"/>
          <w:color w:val="000000"/>
          <w:sz w:val="32"/>
          <w:szCs w:val="32"/>
          <w:lang w:val="en-US" w:eastAsia="zh-CN"/>
        </w:rPr>
        <w:t>财务部年终对年度预算执行情况进行检查，并将检查结果向会长办公会报告。</w:t>
      </w:r>
    </w:p>
    <w:p w14:paraId="3DCAFD73">
      <w:pPr>
        <w:pStyle w:val="3"/>
        <w:keepNext w:val="0"/>
        <w:keepLines w:val="0"/>
        <w:pageBreakBefore w:val="0"/>
        <w:widowControl w:val="0"/>
        <w:kinsoku/>
        <w:wordWrap/>
        <w:topLinePunct w:val="0"/>
        <w:bidi w:val="0"/>
        <w:adjustRightInd/>
        <w:snapToGrid/>
        <w:spacing w:line="600" w:lineRule="exact"/>
        <w:ind w:left="0" w:leftChars="0"/>
        <w:rPr>
          <w:rFonts w:hint="eastAsia" w:ascii="仿宋_GB2312" w:hAnsi="仿宋_GB2312" w:eastAsia="仿宋_GB2312" w:cs="仿宋_GB2312"/>
          <w:sz w:val="32"/>
          <w:szCs w:val="32"/>
          <w:lang w:val="en-US" w:eastAsia="zh-CN"/>
        </w:rPr>
      </w:pPr>
    </w:p>
    <w:p w14:paraId="1A720D1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第四章 收入和支出管理</w:t>
      </w:r>
    </w:p>
    <w:p w14:paraId="56A5F99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第十四条 </w:t>
      </w:r>
      <w:r>
        <w:rPr>
          <w:rFonts w:hint="eastAsia" w:ascii="仿宋_GB2312" w:hAnsi="仿宋_GB2312" w:eastAsia="仿宋_GB2312" w:cs="仿宋_GB2312"/>
          <w:color w:val="000000"/>
          <w:sz w:val="32"/>
          <w:szCs w:val="32"/>
          <w:lang w:val="en-US" w:eastAsia="zh-CN"/>
        </w:rPr>
        <w:t>本会依法取得的收入包括财政资助收入、社会捐赠收入、基金存款利息收入、基金投资增值收入、管理费收入、固定资产租赁收入和其他合法收入。</w:t>
      </w:r>
    </w:p>
    <w:p w14:paraId="0617EBD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第十五条 </w:t>
      </w:r>
      <w:r>
        <w:rPr>
          <w:rFonts w:hint="eastAsia" w:ascii="仿宋_GB2312" w:hAnsi="仿宋_GB2312" w:eastAsia="仿宋_GB2312" w:cs="仿宋_GB2312"/>
          <w:color w:val="000000"/>
          <w:sz w:val="32"/>
          <w:szCs w:val="32"/>
          <w:lang w:val="en-US" w:eastAsia="zh-CN"/>
        </w:rPr>
        <w:t>本会各项收入全部纳入财务预算，统一核算、统一管理。</w:t>
      </w:r>
    </w:p>
    <w:p w14:paraId="66E8278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第十六条 </w:t>
      </w:r>
      <w:r>
        <w:rPr>
          <w:rFonts w:hint="eastAsia" w:ascii="仿宋_GB2312" w:hAnsi="仿宋_GB2312" w:eastAsia="仿宋_GB2312" w:cs="仿宋_GB2312"/>
          <w:color w:val="000000"/>
          <w:sz w:val="32"/>
          <w:szCs w:val="32"/>
          <w:lang w:val="en-US" w:eastAsia="zh-CN"/>
        </w:rPr>
        <w:t>本会接收或提取的管理费应独立核算、建立收支台账，并在本会年度工作报告、年刊和自媒体上将其管理使用情况向社会详细披露和公开。</w:t>
      </w:r>
    </w:p>
    <w:p w14:paraId="438FC62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第十七条 </w:t>
      </w:r>
      <w:r>
        <w:rPr>
          <w:rFonts w:hint="eastAsia" w:ascii="仿宋_GB2312" w:hAnsi="仿宋_GB2312" w:eastAsia="仿宋_GB2312" w:cs="仿宋_GB2312"/>
          <w:color w:val="000000"/>
          <w:sz w:val="32"/>
          <w:szCs w:val="32"/>
          <w:lang w:val="en-US" w:eastAsia="zh-CN"/>
        </w:rPr>
        <w:t>本会支出是指开展业务活动使用各项资金发生的基本支出和项目支出。基本支出指用于满足本会日常工作需要的各类支出，包括工资福利支出、商品和服务支出、其他资本性支出。项目支出是指项目救助和公益活动经费支出。</w:t>
      </w:r>
    </w:p>
    <w:p w14:paraId="740CFD7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第十八条 </w:t>
      </w:r>
      <w:r>
        <w:rPr>
          <w:rFonts w:hint="eastAsia" w:ascii="仿宋_GB2312" w:hAnsi="仿宋_GB2312" w:eastAsia="仿宋_GB2312" w:cs="仿宋_GB2312"/>
          <w:color w:val="000000"/>
          <w:sz w:val="32"/>
          <w:szCs w:val="32"/>
          <w:lang w:val="en-US" w:eastAsia="zh-CN"/>
        </w:rPr>
        <w:t>本会各项支出必须贯彻厉行节约、量力而行的原则，在规定的范围和标准内开支。严格执行计划和预算的原则；坚持事前报告的原则；遵循“谁经手、谁负责”“一事一结、及时报账”的原则；坚持公务卡结算的原则。</w:t>
      </w:r>
    </w:p>
    <w:p w14:paraId="13E4B3A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（一）严格执行预算。所有支出必须有预算安排或确定的资金来源。对于无经费计划的预算外开支项目，开支前必须先确定资金渠道，落实资金来源，否则，财务部不予报账。</w:t>
      </w:r>
    </w:p>
    <w:p w14:paraId="17027FD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执行事前报告制度。所有事项均应执行事前报告制度，在支出事项开展前，经办人必须按要求填表进行事前审批，其中采购、会议、培训、公务接待、工作用餐等填写相应的审批表，其他事项填写事前审批表</w:t>
      </w:r>
      <w:r>
        <w:rPr>
          <w:rFonts w:hint="default" w:ascii="Times New Roman" w:hAnsi="Times New Roman" w:eastAsia="仿宋_GB2312" w:cs="Times New Roman"/>
          <w:color w:val="000000"/>
          <w:sz w:val="32"/>
          <w:szCs w:val="32"/>
          <w:lang w:val="en-US" w:eastAsia="zh-CN"/>
        </w:rPr>
        <w:t>（详见附件一）。预算内支出事项在1万元以下的直接报分管副秘书长审批，1万元及以上至2万元以内报秘书长审批，2万元及以上的按</w:t>
      </w:r>
      <w:r>
        <w:rPr>
          <w:rFonts w:hint="eastAsia" w:ascii="仿宋_GB2312" w:hAnsi="仿宋_GB2312" w:eastAsia="仿宋_GB2312" w:cs="仿宋_GB2312"/>
          <w:color w:val="000000"/>
          <w:sz w:val="32"/>
          <w:szCs w:val="32"/>
          <w:lang w:val="en-US" w:eastAsia="zh-CN"/>
        </w:rPr>
        <w:t>照“三重一大”制度执行，报市慈善事务中心支委会批准。没有列入年度预算计划的支出，经市慈善事务中心支委会研究同意后，再按本制度第二十条规定报相关领导审批后支付。</w:t>
      </w:r>
    </w:p>
    <w:p w14:paraId="68E2DB0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（三）经手人对发票和事项的真实性、合法性、合规性负责；财务部对报账手续和资料的完整性、有效性进行审核。</w:t>
      </w:r>
    </w:p>
    <w:p w14:paraId="7394FB5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（四）经费审批一律实行一事一批，同一业务不得化整为零，分割处理。各项支出应一事一结，及时报账，在事项结束后两个月内报账完毕，原则上必须在每年</w:t>
      </w:r>
      <w:r>
        <w:rPr>
          <w:rFonts w:hint="default" w:ascii="Times New Roman" w:hAnsi="Times New Roman" w:eastAsia="仿宋_GB2312" w:cs="Times New Roman"/>
          <w:color w:val="000000"/>
          <w:sz w:val="32"/>
          <w:szCs w:val="32"/>
          <w:lang w:val="en-US" w:eastAsia="zh-CN"/>
        </w:rPr>
        <w:t>12月20日</w:t>
      </w:r>
      <w:r>
        <w:rPr>
          <w:rFonts w:hint="eastAsia" w:ascii="仿宋_GB2312" w:hAnsi="仿宋_GB2312" w:eastAsia="仿宋_GB2312" w:cs="仿宋_GB2312"/>
          <w:color w:val="000000"/>
          <w:sz w:val="32"/>
          <w:szCs w:val="32"/>
          <w:lang w:val="en-US" w:eastAsia="zh-CN"/>
        </w:rPr>
        <w:t>前完成所有报账手续，不得跨年办理支付，以保证财务决算的正常运行。</w:t>
      </w:r>
    </w:p>
    <w:p w14:paraId="6A2FA61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（五）经费支出原则上采用银行转账或公务卡方式结算，除支付个人费用不具备刷卡条件的小额消费、春节慰问费用、紧急救援费用和定向捐赠方指定用现金支出外，其他支出不得以现金方式支付。</w:t>
      </w:r>
    </w:p>
    <w:p w14:paraId="02EAEA5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现金借支需填写《借款申请单》，经秘书长审批同意后，由项目负责人到财务部借支。借支款原则上应在借支</w:t>
      </w:r>
      <w:r>
        <w:rPr>
          <w:rFonts w:hint="default" w:ascii="Times New Roman" w:hAnsi="Times New Roman" w:eastAsia="仿宋_GB2312" w:cs="Times New Roman"/>
          <w:color w:val="000000"/>
          <w:sz w:val="32"/>
          <w:szCs w:val="32"/>
          <w:lang w:val="en-US" w:eastAsia="zh-CN"/>
        </w:rPr>
        <w:t>后30天</w:t>
      </w:r>
      <w:r>
        <w:rPr>
          <w:rFonts w:hint="eastAsia" w:ascii="仿宋_GB2312" w:hAnsi="仿宋_GB2312" w:eastAsia="仿宋_GB2312" w:cs="仿宋_GB2312"/>
          <w:color w:val="000000"/>
          <w:sz w:val="32"/>
          <w:szCs w:val="32"/>
          <w:lang w:val="en-US" w:eastAsia="zh-CN"/>
        </w:rPr>
        <w:t>内归还或报账冲销，未按期归还或报账的，财务部有权在其工资中予以扣除。</w:t>
      </w:r>
    </w:p>
    <w:p w14:paraId="0C18F1A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第十九条 </w:t>
      </w:r>
      <w:r>
        <w:rPr>
          <w:rFonts w:hint="eastAsia" w:ascii="仿宋_GB2312" w:hAnsi="仿宋_GB2312" w:eastAsia="仿宋_GB2312" w:cs="仿宋_GB2312"/>
          <w:color w:val="000000"/>
          <w:sz w:val="32"/>
          <w:szCs w:val="32"/>
          <w:lang w:val="en-US" w:eastAsia="zh-CN"/>
        </w:rPr>
        <w:t>预算内经费审批：</w:t>
      </w:r>
    </w:p>
    <w:p w14:paraId="1E240FD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预算内经费包括经年初会长办公会审定的项目经费、专项经费、人员经费和工作经费。</w:t>
      </w:r>
    </w:p>
    <w:p w14:paraId="6CA2099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（一）项目经费和专项经费由项目负责人按项目章程或实施办法提出，项目所在部门负责人审查，财务部负责人复核，分管业务和财务副秘书长审核后，报秘书长审批。</w:t>
      </w:r>
    </w:p>
    <w:p w14:paraId="1621535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（二）工资、津贴及其他福利等人员经费由综合部编制，综合部负责人审查，财务部负责人复核，分管财务副秘书长审核后，报秘书长审批。</w:t>
      </w:r>
    </w:p>
    <w:p w14:paraId="7735237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工作经费（包括差旅费、宣传费、活动费、办公设备添置费和必要物资采购费用等）由经办人按相关制度提出，所在部门和综合部负责人审查，财务部负责人复核，分管业务和财务副秘书长审核后，报秘书长审批。</w:t>
      </w:r>
    </w:p>
    <w:p w14:paraId="479E1A9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第二十条 </w:t>
      </w:r>
      <w:r>
        <w:rPr>
          <w:rFonts w:hint="eastAsia" w:ascii="仿宋_GB2312" w:hAnsi="仿宋_GB2312" w:eastAsia="仿宋_GB2312" w:cs="仿宋_GB2312"/>
          <w:color w:val="000000"/>
          <w:sz w:val="32"/>
          <w:szCs w:val="32"/>
          <w:lang w:val="en-US" w:eastAsia="zh-CN"/>
        </w:rPr>
        <w:t>预算外经费审批：</w:t>
      </w:r>
    </w:p>
    <w:p w14:paraId="7EB579A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预算外资金包括专项基金、冠名基金、网筹资金、定向捐赠资金和其他临时安排的项目经费和活动经费。</w:t>
      </w:r>
    </w:p>
    <w:p w14:paraId="1C0EF64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（一）专项基金、冠名基金、网筹资金、定向捐赠资金，由项目负责人按照章程和捐赠协议要求提出，项目部门负责人审查，财务部负责人复核，分管业务和财务副秘书长审核后，报秘书长审批。</w:t>
      </w:r>
    </w:p>
    <w:p w14:paraId="73EF4A0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default" w:ascii="Times New Roman" w:hAnsi="Times New Roman" w:eastAsia="仿宋_GB2312" w:cs="Times New Roman"/>
          <w:color w:val="000000"/>
          <w:sz w:val="32"/>
          <w:szCs w:val="32"/>
          <w:lang w:val="en-US" w:eastAsia="zh-CN"/>
        </w:rPr>
      </w:pPr>
      <w:r>
        <w:rPr>
          <w:rFonts w:hint="eastAsia" w:ascii="仿宋_GB2312" w:hAnsi="仿宋_GB2312" w:eastAsia="仿宋_GB2312" w:cs="仿宋_GB2312"/>
          <w:color w:val="000000"/>
          <w:sz w:val="32"/>
          <w:szCs w:val="32"/>
          <w:lang w:val="en-US" w:eastAsia="zh-CN"/>
        </w:rPr>
        <w:t>（二）临时安排的项目经费</w:t>
      </w:r>
      <w:r>
        <w:rPr>
          <w:rFonts w:hint="default" w:ascii="Times New Roman" w:hAnsi="Times New Roman" w:eastAsia="仿宋_GB2312" w:cs="Times New Roman"/>
          <w:color w:val="000000"/>
          <w:sz w:val="32"/>
          <w:szCs w:val="32"/>
          <w:lang w:val="en-US" w:eastAsia="zh-CN"/>
        </w:rPr>
        <w:t>和活动经费，10万元（含）以内报秘书长审批，10万元至50万元（含）报常务副会长审批，50万元以上至100万元（含）报会长审批，100万元及以上报会长办公会审议。</w:t>
      </w:r>
    </w:p>
    <w:p w14:paraId="1FAFC075">
      <w:pPr>
        <w:pStyle w:val="3"/>
        <w:keepNext w:val="0"/>
        <w:keepLines w:val="0"/>
        <w:pageBreakBefore w:val="0"/>
        <w:widowControl w:val="0"/>
        <w:kinsoku/>
        <w:wordWrap/>
        <w:topLinePunct w:val="0"/>
        <w:bidi w:val="0"/>
        <w:adjustRightInd/>
        <w:snapToGrid/>
        <w:spacing w:line="600" w:lineRule="exact"/>
        <w:ind w:left="0" w:leftChars="0"/>
        <w:rPr>
          <w:rFonts w:hint="eastAsia" w:ascii="仿宋_GB2312" w:hAnsi="仿宋_GB2312" w:eastAsia="仿宋_GB2312" w:cs="仿宋_GB2312"/>
          <w:sz w:val="32"/>
          <w:szCs w:val="32"/>
          <w:lang w:val="en-US" w:eastAsia="zh-CN"/>
        </w:rPr>
      </w:pPr>
    </w:p>
    <w:p w14:paraId="5B4D7B3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Style w:val="14"/>
          <w:rFonts w:hint="eastAsia" w:ascii="黑体" w:hAnsi="黑体" w:eastAsia="黑体" w:cs="黑体"/>
          <w:b w:val="0"/>
          <w:bCs/>
          <w:color w:val="auto"/>
          <w:kern w:val="0"/>
          <w:sz w:val="32"/>
          <w:szCs w:val="32"/>
          <w:shd w:val="clear" w:color="auto" w:fill="FFFFFF"/>
          <w:lang w:val="en-US" w:eastAsia="zh-CN" w:bidi="ar"/>
        </w:rPr>
      </w:pPr>
      <w:r>
        <w:rPr>
          <w:rStyle w:val="14"/>
          <w:rFonts w:hint="eastAsia" w:ascii="黑体" w:hAnsi="黑体" w:eastAsia="黑体" w:cs="黑体"/>
          <w:b w:val="0"/>
          <w:bCs/>
          <w:color w:val="auto"/>
          <w:kern w:val="0"/>
          <w:sz w:val="32"/>
          <w:szCs w:val="32"/>
          <w:shd w:val="clear" w:color="auto" w:fill="FFFFFF"/>
          <w:lang w:val="en-US" w:eastAsia="zh-CN" w:bidi="ar"/>
        </w:rPr>
        <w:t>第五章 报销凭证管理</w:t>
      </w:r>
    </w:p>
    <w:p w14:paraId="68E16CC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第二十一条 </w:t>
      </w:r>
      <w:r>
        <w:rPr>
          <w:rFonts w:hint="eastAsia" w:ascii="仿宋_GB2312" w:hAnsi="仿宋_GB2312" w:eastAsia="仿宋_GB2312" w:cs="仿宋_GB2312"/>
          <w:color w:val="000000"/>
          <w:sz w:val="32"/>
          <w:szCs w:val="32"/>
          <w:lang w:val="en-US" w:eastAsia="zh-CN"/>
        </w:rPr>
        <w:t>报销各项费用必须提供真实、合法、有效的原始凭证。从外单位取得的原始凭证，必须具有财政部门或税务部门加盖的监制章，并盖有填制单位的财务专用章或发票专用章；从其他个人取得的原始凭证，必须有填制人员的签名或盖章。自制的原始凭证，如借款单、差旅费报销单等，经办人、部门负责人必须签名。单位内部使用的收据不能作为报销凭证。</w:t>
      </w:r>
    </w:p>
    <w:p w14:paraId="67FAADD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第二十二条 </w:t>
      </w:r>
      <w:r>
        <w:rPr>
          <w:rFonts w:hint="eastAsia" w:ascii="仿宋_GB2312" w:hAnsi="仿宋_GB2312" w:eastAsia="仿宋_GB2312" w:cs="仿宋_GB2312"/>
          <w:color w:val="000000"/>
          <w:sz w:val="32"/>
          <w:szCs w:val="32"/>
          <w:lang w:val="en-US" w:eastAsia="zh-CN"/>
        </w:rPr>
        <w:t>原始凭证必须具有以下内容：</w:t>
      </w:r>
    </w:p>
    <w:p w14:paraId="5A594AA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（一）凭证名称；</w:t>
      </w:r>
    </w:p>
    <w:p w14:paraId="41AD232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（二）填制凭证日期；</w:t>
      </w:r>
    </w:p>
    <w:p w14:paraId="7469152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（三）填制凭证单位名称或者填制人姓名；</w:t>
      </w:r>
    </w:p>
    <w:p w14:paraId="4A9BA92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（四）经办人员的签名或者盖章；</w:t>
      </w:r>
    </w:p>
    <w:p w14:paraId="7BE31A8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（五）接收凭证单位或个人名称；</w:t>
      </w:r>
    </w:p>
    <w:p w14:paraId="7B61FD3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（六）经济业务内容；</w:t>
      </w:r>
    </w:p>
    <w:p w14:paraId="34A8025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（七）数量、单价和金额。</w:t>
      </w:r>
    </w:p>
    <w:p w14:paraId="6043E77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对于面积较小不易单独装订保管的原始凭证（如过桥费、小张餐费票和车船票等），须按经济业务内容，分门别类地按阶梯状粘贴（不能装订）在原始凭证粘贴单上，粘贴的票据不能超出粘贴纸张的范围。其他的同类大张发票也可以粘贴在一张或几张粘贴单上，但须写明票据的张数和总金额。</w:t>
      </w:r>
    </w:p>
    <w:p w14:paraId="6BD7CA8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第二十三条 </w:t>
      </w:r>
      <w:r>
        <w:rPr>
          <w:rFonts w:hint="eastAsia" w:ascii="仿宋_GB2312" w:hAnsi="仿宋_GB2312" w:eastAsia="仿宋_GB2312" w:cs="仿宋_GB2312"/>
          <w:color w:val="000000"/>
          <w:sz w:val="32"/>
          <w:szCs w:val="32"/>
          <w:lang w:val="en-US" w:eastAsia="zh-CN"/>
        </w:rPr>
        <w:t>各类原始凭证、合同必须用原件报销。复印件不能作为报销凭证。</w:t>
      </w:r>
    </w:p>
    <w:p w14:paraId="54E33BC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第二十四条 </w:t>
      </w:r>
      <w:r>
        <w:rPr>
          <w:rFonts w:hint="eastAsia" w:ascii="仿宋_GB2312" w:hAnsi="仿宋_GB2312" w:eastAsia="仿宋_GB2312" w:cs="仿宋_GB2312"/>
          <w:color w:val="000000"/>
          <w:sz w:val="32"/>
          <w:szCs w:val="32"/>
          <w:lang w:val="en-US" w:eastAsia="zh-CN"/>
        </w:rPr>
        <w:t>原始凭证必须按规定填写，要求字迹清晰，书写规范，原始凭证的金额不得涂改，大小写金额要相符，若有更改要加盖出票单位的公章。</w:t>
      </w:r>
    </w:p>
    <w:p w14:paraId="691177D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第二十五条 </w:t>
      </w:r>
      <w:r>
        <w:rPr>
          <w:rFonts w:hint="eastAsia" w:ascii="仿宋_GB2312" w:hAnsi="仿宋_GB2312" w:eastAsia="仿宋_GB2312" w:cs="仿宋_GB2312"/>
          <w:color w:val="000000"/>
          <w:sz w:val="32"/>
          <w:szCs w:val="32"/>
          <w:lang w:val="en-US" w:eastAsia="zh-CN"/>
        </w:rPr>
        <w:t>一式几联的原始凭证，必须用双面复写纸（发票和收据本身具备复写纸功能的除外）套写，应当注明各联的用途，而且只能以一联作为报销凭证。</w:t>
      </w:r>
    </w:p>
    <w:p w14:paraId="5770B3B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第二十六条 </w:t>
      </w:r>
      <w:r>
        <w:rPr>
          <w:rFonts w:hint="eastAsia" w:ascii="仿宋_GB2312" w:hAnsi="仿宋_GB2312" w:eastAsia="仿宋_GB2312" w:cs="仿宋_GB2312"/>
          <w:b w:val="0"/>
          <w:bCs w:val="0"/>
          <w:color w:val="000000"/>
          <w:sz w:val="32"/>
          <w:szCs w:val="32"/>
          <w:lang w:val="en-US" w:eastAsia="zh-CN"/>
        </w:rPr>
        <w:t>属于</w:t>
      </w:r>
      <w:r>
        <w:rPr>
          <w:rFonts w:hint="eastAsia" w:ascii="仿宋_GB2312" w:hAnsi="仿宋_GB2312" w:eastAsia="仿宋_GB2312" w:cs="仿宋_GB2312"/>
          <w:color w:val="000000"/>
          <w:sz w:val="32"/>
          <w:szCs w:val="32"/>
          <w:lang w:val="en-US" w:eastAsia="zh-CN"/>
        </w:rPr>
        <w:t>购买实物的原始凭证，要载明品名并写明规格、型号、数量、单价和金额，如商品、实物品种较多，原始凭证中填写不下的，可由供货单位按上述要求出具购物清单，并加盖公章，清单的总金额必须与发票金额相符。电脑打印发票，必须附上电脑打印的购物清单。属费用结算的，其票据和结算单等附件要清晰反映结算内容及计算依据。</w:t>
      </w:r>
    </w:p>
    <w:p w14:paraId="33D45B8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第二十七条 </w:t>
      </w:r>
      <w:r>
        <w:rPr>
          <w:rFonts w:hint="eastAsia" w:ascii="仿宋_GB2312" w:hAnsi="仿宋_GB2312" w:eastAsia="仿宋_GB2312" w:cs="仿宋_GB2312"/>
          <w:color w:val="000000"/>
          <w:sz w:val="32"/>
          <w:szCs w:val="32"/>
          <w:lang w:val="en-US" w:eastAsia="zh-CN"/>
        </w:rPr>
        <w:t>从外单位取得的原始凭证如有遗失，必须到出票单位复印原收据（发票）存根或记账联，并加盖出票单位的财务专用章，由经办人签字说明，经财务部审核，分管副秘书长、秘书长审批同意后，方能作为报销依据。遗失车船票和飞机票，须说明遗失原因，提供必要的证明（如住宿费收据、会议报到通知、一同出差人员的票据等），经财务部审核，分管副秘书长、秘书长审批同意后，方能作为报销依据。</w:t>
      </w:r>
    </w:p>
    <w:p w14:paraId="3BC7EDD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第二十八条 </w:t>
      </w:r>
      <w:r>
        <w:rPr>
          <w:rFonts w:hint="eastAsia" w:ascii="仿宋_GB2312" w:hAnsi="仿宋_GB2312" w:eastAsia="仿宋_GB2312" w:cs="仿宋_GB2312"/>
          <w:color w:val="000000"/>
          <w:sz w:val="32"/>
          <w:szCs w:val="32"/>
          <w:lang w:val="en-US" w:eastAsia="zh-CN"/>
        </w:rPr>
        <w:t>经上级有关部门批准的经济业务，应当将批准文件作为原始凭证附件。如果批准文件需要单独归档的，应当在凭证上附上该文件的复印件。</w:t>
      </w:r>
    </w:p>
    <w:p w14:paraId="0F1FCD4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第二十九条 </w:t>
      </w:r>
      <w:r>
        <w:rPr>
          <w:rFonts w:hint="eastAsia" w:ascii="仿宋_GB2312" w:hAnsi="仿宋_GB2312" w:eastAsia="仿宋_GB2312" w:cs="仿宋_GB2312"/>
          <w:color w:val="000000"/>
          <w:sz w:val="32"/>
          <w:szCs w:val="32"/>
          <w:lang w:val="en-US" w:eastAsia="zh-CN"/>
        </w:rPr>
        <w:t>邮寄费发票报销需要有相关邮寄的附件予以支撑。</w:t>
      </w:r>
    </w:p>
    <w:p w14:paraId="6BC68D5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第三十条 </w:t>
      </w:r>
      <w:r>
        <w:rPr>
          <w:rFonts w:hint="eastAsia" w:ascii="仿宋_GB2312" w:hAnsi="仿宋_GB2312" w:eastAsia="仿宋_GB2312" w:cs="仿宋_GB2312"/>
          <w:color w:val="000000"/>
          <w:sz w:val="32"/>
          <w:szCs w:val="32"/>
          <w:lang w:val="en-US" w:eastAsia="zh-CN"/>
        </w:rPr>
        <w:t>购买实物办理报销手续时，必须有验收证明。专用材料和固定资产必须办理入库手续，持发票、入库单、购货合同，按规定程序审批后，才能办理报销手续。各部门报账至少要有经手人、证明人签字。不需要入库的实物，除按报销手续签字外，还必须有验收单或使用证明人签字说明。实行公务卡结算的按相关规定办理。</w:t>
      </w:r>
    </w:p>
    <w:p w14:paraId="7D7FC35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第三十一条 </w:t>
      </w:r>
      <w:r>
        <w:rPr>
          <w:rFonts w:hint="eastAsia" w:ascii="仿宋_GB2312" w:hAnsi="仿宋_GB2312" w:eastAsia="仿宋_GB2312" w:cs="仿宋_GB2312"/>
          <w:color w:val="000000"/>
          <w:sz w:val="32"/>
          <w:szCs w:val="32"/>
          <w:lang w:val="en-US" w:eastAsia="zh-CN"/>
        </w:rPr>
        <w:t>对于开出时间较长，特别是开出时间距报销时间达一年以上的发票原则上不予报销，特殊情况须报分管财务副秘书长、秘书长审批同意后才能报销。</w:t>
      </w:r>
    </w:p>
    <w:p w14:paraId="49D9335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2DA7396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第六章 会议费管理</w:t>
      </w:r>
    </w:p>
    <w:p w14:paraId="33C700C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第三十二条 </w:t>
      </w:r>
      <w:r>
        <w:rPr>
          <w:rFonts w:hint="eastAsia" w:ascii="仿宋_GB2312" w:hAnsi="仿宋_GB2312" w:eastAsia="仿宋_GB2312" w:cs="仿宋_GB2312"/>
          <w:color w:val="000000"/>
          <w:sz w:val="32"/>
          <w:szCs w:val="32"/>
          <w:lang w:val="en-US" w:eastAsia="zh-CN"/>
        </w:rPr>
        <w:t>会议费范围包括住宿费、伙食费、场租费、交通费、专家授课费、文印费等。会议管理和会议费开支标准参照长沙市财政局《长沙市市直机关会议费管理办法》（长财行〔2018〕10号）执行。</w:t>
      </w:r>
    </w:p>
    <w:p w14:paraId="3577338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第三十三条 </w:t>
      </w:r>
      <w:r>
        <w:rPr>
          <w:rFonts w:hint="eastAsia" w:ascii="仿宋_GB2312" w:hAnsi="仿宋_GB2312" w:eastAsia="仿宋_GB2312" w:cs="仿宋_GB2312"/>
          <w:color w:val="000000"/>
          <w:sz w:val="32"/>
          <w:szCs w:val="32"/>
          <w:lang w:val="en-US" w:eastAsia="zh-CN"/>
        </w:rPr>
        <w:t>会议费管理按照“谁组织谁负责”的原则，会议组织部门明确会议相关事项、落实经费来源，报分管副秘书长批准，重大会议报秘书长审批。</w:t>
      </w:r>
    </w:p>
    <w:p w14:paraId="027FCD50">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第三十四条 </w:t>
      </w:r>
      <w:r>
        <w:rPr>
          <w:rFonts w:hint="eastAsia" w:ascii="仿宋_GB2312" w:hAnsi="仿宋_GB2312" w:eastAsia="仿宋_GB2312" w:cs="仿宋_GB2312"/>
          <w:color w:val="000000"/>
          <w:sz w:val="32"/>
          <w:szCs w:val="32"/>
          <w:lang w:val="en-US" w:eastAsia="zh-CN"/>
        </w:rPr>
        <w:t>会议组织部门在会议召开前，应填写《会议经费预算审批表》，审批表包括会议名称、主要内容、时间地点、参会人数等相关资料，经财务部审核后报分管副秘书长和秘书长审批。</w:t>
      </w:r>
    </w:p>
    <w:p w14:paraId="272BDDC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第三十五条 </w:t>
      </w:r>
      <w:r>
        <w:rPr>
          <w:rFonts w:hint="eastAsia" w:ascii="仿宋_GB2312" w:hAnsi="仿宋_GB2312" w:eastAsia="仿宋_GB2312" w:cs="仿宋_GB2312"/>
          <w:color w:val="000000"/>
          <w:sz w:val="32"/>
          <w:szCs w:val="32"/>
          <w:lang w:val="en-US" w:eastAsia="zh-CN"/>
        </w:rPr>
        <w:t>会议实行一会一结，不得分散结账。报账时应提供会议审批文件、《会议经费预算审批表》、会议通知、实际参会人员签到表、场租费发票、餐费发票、《评审专家劳务报酬支付表》、刷卡</w:t>
      </w:r>
      <w:r>
        <w:rPr>
          <w:rFonts w:hint="eastAsia" w:ascii="Times New Roman" w:hAnsi="Times New Roman" w:eastAsia="仿宋_GB2312" w:cs="Times New Roman"/>
          <w:color w:val="000000"/>
          <w:sz w:val="32"/>
          <w:szCs w:val="32"/>
          <w:lang w:val="en-US" w:eastAsia="zh-CN"/>
        </w:rPr>
        <w:t>POS</w:t>
      </w:r>
      <w:r>
        <w:rPr>
          <w:rFonts w:hint="default" w:ascii="Times New Roman" w:hAnsi="Times New Roman" w:eastAsia="仿宋_GB2312" w:cs="Times New Roman"/>
          <w:color w:val="000000"/>
          <w:sz w:val="32"/>
          <w:szCs w:val="32"/>
          <w:lang w:val="en-US" w:eastAsia="zh-CN"/>
        </w:rPr>
        <w:t>单</w:t>
      </w:r>
      <w:r>
        <w:rPr>
          <w:rFonts w:hint="eastAsia" w:ascii="仿宋_GB2312" w:hAnsi="仿宋_GB2312" w:eastAsia="仿宋_GB2312" w:cs="仿宋_GB2312"/>
          <w:color w:val="000000"/>
          <w:sz w:val="32"/>
          <w:szCs w:val="32"/>
          <w:lang w:val="en-US" w:eastAsia="zh-CN"/>
        </w:rPr>
        <w:t>或转账银行账号等凭证。财务部要严格按照规定审核会议费开支，对未按规定批准的会议，以及超范围、超标准开支的费用不予报销。</w:t>
      </w:r>
    </w:p>
    <w:p w14:paraId="5340692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1D3D8BC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default"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第七章 培训费管理</w:t>
      </w:r>
    </w:p>
    <w:p w14:paraId="014635F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第三十六条 </w:t>
      </w:r>
      <w:r>
        <w:rPr>
          <w:rFonts w:hint="eastAsia" w:ascii="仿宋_GB2312" w:hAnsi="仿宋_GB2312" w:eastAsia="仿宋_GB2312" w:cs="仿宋_GB2312"/>
          <w:color w:val="000000"/>
          <w:sz w:val="32"/>
          <w:szCs w:val="32"/>
          <w:lang w:val="en-US" w:eastAsia="zh-CN"/>
        </w:rPr>
        <w:t>培训费是指本会举办的一周以内的各类培训发生的各项费用，以及因工作需要参加外单位举办的收费培训发生的各项费用。</w:t>
      </w:r>
    </w:p>
    <w:p w14:paraId="3B0778C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第三十七条 </w:t>
      </w:r>
      <w:r>
        <w:rPr>
          <w:rFonts w:hint="eastAsia" w:ascii="仿宋_GB2312" w:hAnsi="仿宋_GB2312" w:eastAsia="仿宋_GB2312" w:cs="仿宋_GB2312"/>
          <w:color w:val="000000"/>
          <w:sz w:val="32"/>
          <w:szCs w:val="32"/>
          <w:lang w:val="en-US" w:eastAsia="zh-CN"/>
        </w:rPr>
        <w:t>培训费开支范围包括师资费、住宿费、伙食费、培训场地费、培训资料费、交通费以及其他费用。单位培训管理和培训费开支标准参照《长沙市市直机关培训费管理办法》（长财行〔</w:t>
      </w:r>
      <w:r>
        <w:rPr>
          <w:rFonts w:hint="default" w:ascii="Times New Roman" w:hAnsi="Times New Roman" w:eastAsia="仿宋_GB2312" w:cs="Times New Roman"/>
          <w:color w:val="000000"/>
          <w:sz w:val="32"/>
          <w:szCs w:val="32"/>
          <w:lang w:val="en-US" w:eastAsia="zh-CN"/>
        </w:rPr>
        <w:t>2017</w:t>
      </w:r>
      <w:r>
        <w:rPr>
          <w:rFonts w:hint="eastAsia" w:ascii="仿宋_GB2312" w:hAnsi="仿宋_GB2312" w:eastAsia="仿宋_GB2312" w:cs="仿宋_GB2312"/>
          <w:color w:val="000000"/>
          <w:sz w:val="32"/>
          <w:szCs w:val="32"/>
          <w:lang w:val="en-US" w:eastAsia="zh-CN"/>
        </w:rPr>
        <w:t>〕</w:t>
      </w:r>
      <w:r>
        <w:rPr>
          <w:rFonts w:hint="default" w:ascii="Times New Roman" w:hAnsi="Times New Roman" w:eastAsia="仿宋_GB2312" w:cs="Times New Roman"/>
          <w:color w:val="000000"/>
          <w:sz w:val="32"/>
          <w:szCs w:val="32"/>
          <w:lang w:val="en-US" w:eastAsia="zh-CN"/>
        </w:rPr>
        <w:t>13</w:t>
      </w:r>
      <w:r>
        <w:rPr>
          <w:rFonts w:hint="eastAsia" w:ascii="仿宋_GB2312" w:hAnsi="仿宋_GB2312" w:eastAsia="仿宋_GB2312" w:cs="仿宋_GB2312"/>
          <w:color w:val="000000"/>
          <w:sz w:val="32"/>
          <w:szCs w:val="32"/>
          <w:lang w:val="en-US" w:eastAsia="zh-CN"/>
        </w:rPr>
        <w:t>号）、湖南省财政厅《关于湖南省省直机关培训费管理办法有关问题的解答》的通知（湘财行〔</w:t>
      </w:r>
      <w:r>
        <w:rPr>
          <w:rFonts w:hint="default" w:ascii="Times New Roman" w:hAnsi="Times New Roman" w:eastAsia="仿宋_GB2312" w:cs="Times New Roman"/>
          <w:color w:val="000000"/>
          <w:sz w:val="32"/>
          <w:szCs w:val="32"/>
          <w:lang w:val="en-US" w:eastAsia="zh-CN"/>
        </w:rPr>
        <w:t>2018</w:t>
      </w:r>
      <w:r>
        <w:rPr>
          <w:rFonts w:hint="eastAsia" w:ascii="仿宋_GB2312" w:hAnsi="仿宋_GB2312" w:eastAsia="仿宋_GB2312" w:cs="仿宋_GB2312"/>
          <w:color w:val="000000"/>
          <w:sz w:val="32"/>
          <w:szCs w:val="32"/>
          <w:lang w:val="en-US" w:eastAsia="zh-CN"/>
        </w:rPr>
        <w:t>〕</w:t>
      </w:r>
      <w:r>
        <w:rPr>
          <w:rFonts w:hint="default" w:ascii="Times New Roman" w:hAnsi="Times New Roman" w:eastAsia="仿宋_GB2312" w:cs="Times New Roman"/>
          <w:color w:val="000000"/>
          <w:sz w:val="32"/>
          <w:szCs w:val="32"/>
          <w:lang w:val="en-US" w:eastAsia="zh-CN"/>
        </w:rPr>
        <w:t>20</w:t>
      </w:r>
      <w:r>
        <w:rPr>
          <w:rFonts w:hint="eastAsia" w:ascii="仿宋_GB2312" w:hAnsi="仿宋_GB2312" w:eastAsia="仿宋_GB2312" w:cs="仿宋_GB2312"/>
          <w:color w:val="000000"/>
          <w:sz w:val="32"/>
          <w:szCs w:val="32"/>
          <w:lang w:val="en-US" w:eastAsia="zh-CN"/>
        </w:rPr>
        <w:t>号）执行。</w:t>
      </w:r>
    </w:p>
    <w:p w14:paraId="603F83D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Times New Roman" w:hAnsi="Times New Roman" w:eastAsia="仿宋_GB2312" w:cs="Times New Roman"/>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第三十八条 </w:t>
      </w:r>
      <w:r>
        <w:rPr>
          <w:rFonts w:hint="eastAsia" w:ascii="仿宋_GB2312" w:hAnsi="仿宋_GB2312" w:eastAsia="仿宋_GB2312" w:cs="仿宋_GB2312"/>
          <w:color w:val="000000"/>
          <w:sz w:val="32"/>
          <w:szCs w:val="32"/>
          <w:lang w:val="en-US" w:eastAsia="zh-CN"/>
        </w:rPr>
        <w:t>师资</w:t>
      </w:r>
      <w:r>
        <w:rPr>
          <w:rFonts w:hint="default" w:ascii="Times New Roman" w:hAnsi="Times New Roman" w:eastAsia="仿宋_GB2312" w:cs="Times New Roman"/>
          <w:color w:val="000000"/>
          <w:sz w:val="32"/>
          <w:szCs w:val="32"/>
          <w:lang w:val="en-US" w:eastAsia="zh-CN"/>
        </w:rPr>
        <w:t>费</w:t>
      </w:r>
      <w:r>
        <w:rPr>
          <w:rFonts w:hint="eastAsia" w:ascii="Times New Roman" w:hAnsi="Times New Roman" w:eastAsia="仿宋_GB2312" w:cs="Times New Roman"/>
          <w:color w:val="000000"/>
          <w:sz w:val="32"/>
          <w:szCs w:val="32"/>
          <w:lang w:val="en-US" w:eastAsia="zh-CN"/>
        </w:rPr>
        <w:t>(税后)执行以下标准：副高级技术职称专业人员每学时最高不超过500元，正高级技术职称专业人员每学时最高不超过1000元，院士、全国知名专家每学时一般不超过1500元。讲课费按实际发生的学时计算，每半天最多按4学时计算。其他人员讲课参照上述标准执行。</w:t>
      </w:r>
    </w:p>
    <w:p w14:paraId="7E79E80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培训工作确有需要从省外或境外邀请授课老师，路途时间较长的，经秘书长书面批准，讲课费可以在原标准上最多增加50%。</w:t>
      </w:r>
    </w:p>
    <w:p w14:paraId="2C43F11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第三十九条 </w:t>
      </w:r>
      <w:r>
        <w:rPr>
          <w:rFonts w:hint="eastAsia" w:ascii="仿宋_GB2312" w:hAnsi="仿宋_GB2312" w:eastAsia="仿宋_GB2312" w:cs="仿宋_GB2312"/>
          <w:color w:val="000000"/>
          <w:sz w:val="32"/>
          <w:szCs w:val="32"/>
          <w:lang w:val="en-US" w:eastAsia="zh-CN"/>
        </w:rPr>
        <w:t>培训费管理按照“谁主办谁负责”的原则，培训举办前（含以购买服务举办的培训），部门根据年度培训计划和预算，提出培训方案，填写《培训经费预算审批表》，由财务部负责人初审、分管副秘书长审核后，报秘书长审批。</w:t>
      </w:r>
    </w:p>
    <w:p w14:paraId="7CD5FEF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第四十条 </w:t>
      </w:r>
      <w:r>
        <w:rPr>
          <w:rFonts w:hint="eastAsia" w:ascii="仿宋_GB2312" w:hAnsi="仿宋_GB2312" w:eastAsia="仿宋_GB2312" w:cs="仿宋_GB2312"/>
          <w:color w:val="000000"/>
          <w:sz w:val="32"/>
          <w:szCs w:val="32"/>
          <w:lang w:val="en-US" w:eastAsia="zh-CN"/>
        </w:rPr>
        <w:t>严格控制购买服务举办培训。购买服务举办培训必须有利于节约培训经费，有利于增强培训效果，同时需按照举办培训的要求和程序报批，政府采购限额标准以上需进行政府采购。</w:t>
      </w:r>
    </w:p>
    <w:p w14:paraId="3A7B950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第四十一条 </w:t>
      </w:r>
      <w:r>
        <w:rPr>
          <w:rFonts w:hint="eastAsia" w:ascii="仿宋_GB2312" w:hAnsi="仿宋_GB2312" w:eastAsia="仿宋_GB2312" w:cs="仿宋_GB2312"/>
          <w:color w:val="000000"/>
          <w:sz w:val="32"/>
          <w:szCs w:val="32"/>
          <w:lang w:val="en-US" w:eastAsia="zh-CN"/>
        </w:rPr>
        <w:t>从严控制参加协会、学会或营利性机构举办的收费培训。如确需参加，参训方案、人员和费用明细需报分管业务副秘书长、财务副秘书长和秘书长批准后方可参加。</w:t>
      </w:r>
    </w:p>
    <w:p w14:paraId="6ACFF84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第四十二条 </w:t>
      </w:r>
      <w:r>
        <w:rPr>
          <w:rFonts w:hint="eastAsia" w:ascii="仿宋_GB2312" w:hAnsi="仿宋_GB2312" w:eastAsia="仿宋_GB2312" w:cs="仿宋_GB2312"/>
          <w:color w:val="000000"/>
          <w:sz w:val="32"/>
          <w:szCs w:val="32"/>
          <w:lang w:val="en-US" w:eastAsia="zh-CN"/>
        </w:rPr>
        <w:t>报账培训费时需提供以下资料：</w:t>
      </w:r>
    </w:p>
    <w:p w14:paraId="2C7859C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本会举办培训，需提供培训审批文件、《培训经费预算审批表》、培训通知、实际参训人员签到表、培训服务协议书、发票、专家授课费领用表、授课老师相关资质证明复印件、费用原始明细单据（住宿、菜单等）、电子结算单（公务卡结算单、转账的银行账号等）等凭证。</w:t>
      </w:r>
    </w:p>
    <w:p w14:paraId="3BD2890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购买服务举办培训，需提供培训审批文件、《培训经费预算审批表》、培训通知、实际参训人员名单、购买服务协议书、项目验收书、承办方提供的发票、电子结算单（公务卡结算单、转账的银行账号等）等凭证。</w:t>
      </w:r>
    </w:p>
    <w:p w14:paraId="3D10196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（三）参加收费培训，需提供培训通知、培训审批文件、《培训经费预算审批表》、培训举办方提供的发票、城市间交通费票据等。</w:t>
      </w:r>
    </w:p>
    <w:p w14:paraId="126303B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财务部严格按规定审核培训费开支，对未按规定批准的培训以及超范围、超标准开支的费用不予报销。</w:t>
      </w:r>
    </w:p>
    <w:p w14:paraId="2E2BEB1E">
      <w:pPr>
        <w:pStyle w:val="3"/>
        <w:keepNext w:val="0"/>
        <w:keepLines w:val="0"/>
        <w:pageBreakBefore w:val="0"/>
        <w:widowControl w:val="0"/>
        <w:kinsoku/>
        <w:wordWrap/>
        <w:topLinePunct w:val="0"/>
        <w:bidi w:val="0"/>
        <w:adjustRightInd/>
        <w:snapToGrid/>
        <w:spacing w:line="600" w:lineRule="exact"/>
        <w:ind w:left="0" w:leftChars="0"/>
        <w:rPr>
          <w:rFonts w:hint="eastAsia" w:ascii="仿宋_GB2312" w:hAnsi="仿宋_GB2312" w:eastAsia="仿宋_GB2312" w:cs="仿宋_GB2312"/>
          <w:sz w:val="32"/>
          <w:szCs w:val="32"/>
          <w:lang w:val="en-US" w:eastAsia="zh-CN"/>
        </w:rPr>
      </w:pPr>
    </w:p>
    <w:p w14:paraId="73AF9D9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第八章 差旅费管理</w:t>
      </w:r>
    </w:p>
    <w:p w14:paraId="4776918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第四十三条 </w:t>
      </w:r>
      <w:r>
        <w:rPr>
          <w:rFonts w:hint="eastAsia" w:ascii="仿宋_GB2312" w:hAnsi="仿宋_GB2312" w:eastAsia="仿宋_GB2312" w:cs="仿宋_GB2312"/>
          <w:color w:val="000000"/>
          <w:sz w:val="32"/>
          <w:szCs w:val="32"/>
          <w:lang w:val="en-US" w:eastAsia="zh-CN"/>
        </w:rPr>
        <w:t>差旅费是指本会工作人员临时到常驻地以外地区公务出差发生的城市间交通费、住宿费、伙食补助费和市内交通费。差旅管理和差旅费开支标准参照长沙市财政局《长沙市市直机关差旅费管理办法》（长财行〔</w:t>
      </w:r>
      <w:r>
        <w:rPr>
          <w:rFonts w:hint="default" w:ascii="Times New Roman" w:hAnsi="Times New Roman" w:eastAsia="仿宋_GB2312" w:cs="Times New Roman"/>
          <w:color w:val="000000"/>
          <w:sz w:val="32"/>
          <w:szCs w:val="32"/>
          <w:lang w:val="en-US" w:eastAsia="zh-CN"/>
        </w:rPr>
        <w:t>2019</w:t>
      </w:r>
      <w:r>
        <w:rPr>
          <w:rFonts w:hint="eastAsia" w:ascii="仿宋_GB2312" w:hAnsi="仿宋_GB2312" w:eastAsia="仿宋_GB2312" w:cs="仿宋_GB2312"/>
          <w:color w:val="000000"/>
          <w:sz w:val="32"/>
          <w:szCs w:val="32"/>
          <w:lang w:val="en-US" w:eastAsia="zh-CN"/>
        </w:rPr>
        <w:t>〕</w:t>
      </w:r>
      <w:r>
        <w:rPr>
          <w:rFonts w:hint="eastAsia" w:ascii="Times New Roman" w:hAnsi="Times New Roman" w:eastAsia="仿宋_GB2312" w:cs="Times New Roman"/>
          <w:color w:val="000000"/>
          <w:sz w:val="32"/>
          <w:szCs w:val="32"/>
          <w:lang w:val="en-US" w:eastAsia="zh-CN"/>
        </w:rPr>
        <w:t>4</w:t>
      </w:r>
      <w:r>
        <w:rPr>
          <w:rFonts w:hint="eastAsia" w:ascii="仿宋_GB2312" w:hAnsi="仿宋_GB2312" w:eastAsia="仿宋_GB2312" w:cs="仿宋_GB2312"/>
          <w:color w:val="000000"/>
          <w:sz w:val="32"/>
          <w:szCs w:val="32"/>
          <w:lang w:val="en-US" w:eastAsia="zh-CN"/>
        </w:rPr>
        <w:t>号）（具体标准附后）和长沙市财政局《关于长沙市市直机关差旅费管理办法有关问题的解答》的通知（长财行〔</w:t>
      </w:r>
      <w:r>
        <w:rPr>
          <w:rFonts w:hint="eastAsia" w:ascii="Times New Roman" w:hAnsi="Times New Roman" w:eastAsia="仿宋_GB2312" w:cs="Times New Roman"/>
          <w:color w:val="000000"/>
          <w:sz w:val="32"/>
          <w:szCs w:val="32"/>
          <w:lang w:val="en-US" w:eastAsia="zh-CN"/>
        </w:rPr>
        <w:t>2019</w:t>
      </w:r>
      <w:r>
        <w:rPr>
          <w:rFonts w:hint="eastAsia" w:ascii="仿宋_GB2312" w:hAnsi="仿宋_GB2312" w:eastAsia="仿宋_GB2312" w:cs="仿宋_GB2312"/>
          <w:color w:val="000000"/>
          <w:sz w:val="32"/>
          <w:szCs w:val="32"/>
          <w:lang w:val="en-US" w:eastAsia="zh-CN"/>
        </w:rPr>
        <w:t>〕</w:t>
      </w:r>
      <w:r>
        <w:rPr>
          <w:rFonts w:hint="eastAsia" w:ascii="Times New Roman" w:hAnsi="Times New Roman" w:eastAsia="仿宋_GB2312" w:cs="Times New Roman"/>
          <w:color w:val="000000"/>
          <w:sz w:val="32"/>
          <w:szCs w:val="32"/>
          <w:lang w:val="en-US" w:eastAsia="zh-CN"/>
        </w:rPr>
        <w:t>5号</w:t>
      </w:r>
      <w:r>
        <w:rPr>
          <w:rFonts w:hint="eastAsia" w:ascii="仿宋_GB2312" w:hAnsi="仿宋_GB2312" w:eastAsia="仿宋_GB2312" w:cs="仿宋_GB2312"/>
          <w:color w:val="000000"/>
          <w:sz w:val="32"/>
          <w:szCs w:val="32"/>
          <w:lang w:val="en-US" w:eastAsia="zh-CN"/>
        </w:rPr>
        <w:t>）执行。</w:t>
      </w:r>
    </w:p>
    <w:p w14:paraId="18BE5EB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第四十四条 </w:t>
      </w:r>
      <w:r>
        <w:rPr>
          <w:rFonts w:hint="eastAsia" w:ascii="仿宋_GB2312" w:hAnsi="仿宋_GB2312" w:eastAsia="仿宋_GB2312" w:cs="仿宋_GB2312"/>
          <w:color w:val="000000"/>
          <w:sz w:val="32"/>
          <w:szCs w:val="32"/>
          <w:lang w:val="en-US" w:eastAsia="zh-CN"/>
        </w:rPr>
        <w:t>出差必须明确出差时间、人员、目的地和任务，并按相关规定报分管副秘书长和秘书长批准。因工作需要，出差途中时间、目的地有变化的，应事前报告分管副秘书长同意后报秘书长批准。</w:t>
      </w:r>
    </w:p>
    <w:p w14:paraId="03D4514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第四十五条 </w:t>
      </w:r>
      <w:r>
        <w:rPr>
          <w:rFonts w:hint="eastAsia" w:ascii="仿宋_GB2312" w:hAnsi="仿宋_GB2312" w:eastAsia="仿宋_GB2312" w:cs="仿宋_GB2312"/>
          <w:color w:val="000000"/>
          <w:sz w:val="32"/>
          <w:szCs w:val="32"/>
          <w:lang w:val="en-US" w:eastAsia="zh-CN"/>
        </w:rPr>
        <w:t>参加常驻地以外地区非收费培训和会议按本会公务出差审批制度报批，可以报销培训举办方要求单位承担的不超过定额标准之内的食宿、城市间交通费用，参训参会期间不得领取补助。</w:t>
      </w:r>
    </w:p>
    <w:p w14:paraId="038480D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第四十六条 </w:t>
      </w:r>
      <w:r>
        <w:rPr>
          <w:rFonts w:hint="eastAsia" w:ascii="仿宋_GB2312" w:hAnsi="仿宋_GB2312" w:eastAsia="仿宋_GB2312" w:cs="仿宋_GB2312"/>
          <w:color w:val="000000"/>
          <w:sz w:val="32"/>
          <w:szCs w:val="32"/>
          <w:lang w:val="en-US" w:eastAsia="zh-CN"/>
        </w:rPr>
        <w:t>出差人员应按规定等级乘坐公共交通工具，乘坐飞机应购买政府公务机票。遇特殊紧急情况，无法按规定乘坐公共交通工具，须说明原因报告分管副秘书长同意后报秘书长批准。</w:t>
      </w:r>
    </w:p>
    <w:p w14:paraId="3B0EBA90">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第四十七条 </w:t>
      </w:r>
      <w:r>
        <w:rPr>
          <w:rFonts w:hint="eastAsia" w:ascii="仿宋_GB2312" w:hAnsi="仿宋_GB2312" w:eastAsia="仿宋_GB2312" w:cs="仿宋_GB2312"/>
          <w:color w:val="000000"/>
          <w:sz w:val="32"/>
          <w:szCs w:val="32"/>
          <w:lang w:val="en-US" w:eastAsia="zh-CN"/>
        </w:rPr>
        <w:t>差旅费报账应提供出差审批文件、城市间交通和住宿发票、电子结算单（公务卡结算单、转账的银行账号等）等凭证。参加会议和非收费培训的差旅费用报账时应提供会议（培训）审批文件、会议（培训）举办方（或举办方指定提供方）提供的食宿发票、城市间交通费票据。财务部要严格按规定审核差旅费开支，对未按规定批准的出差，以及超范围、超标准开支的费用不予报销。具体报销标准如下：</w:t>
      </w:r>
    </w:p>
    <w:p w14:paraId="4AF99B2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（一）公共交通工具。火车乘坐硬座、硬卧，高铁乘坐二等座，轮船乘坐三等舱，飞机乘坐经济舱。</w:t>
      </w:r>
    </w:p>
    <w:p w14:paraId="00EF03F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（二）伙食补助费。按照自然（日历）天数包干补助，出差目的地为西藏、青海、新疆，补助标准为每人每天</w:t>
      </w:r>
      <w:r>
        <w:rPr>
          <w:rFonts w:hint="eastAsia" w:ascii="Times New Roman" w:hAnsi="Times New Roman" w:eastAsia="仿宋_GB2312" w:cs="Times New Roman"/>
          <w:color w:val="000000"/>
          <w:sz w:val="32"/>
          <w:szCs w:val="32"/>
          <w:lang w:val="en-US" w:eastAsia="zh-CN"/>
        </w:rPr>
        <w:t>120元</w:t>
      </w:r>
      <w:r>
        <w:rPr>
          <w:rFonts w:hint="eastAsia" w:ascii="仿宋_GB2312" w:hAnsi="仿宋_GB2312" w:eastAsia="仿宋_GB2312" w:cs="仿宋_GB2312"/>
          <w:color w:val="000000"/>
          <w:sz w:val="32"/>
          <w:szCs w:val="32"/>
          <w:lang w:val="en-US" w:eastAsia="zh-CN"/>
        </w:rPr>
        <w:t>，其他地方补助标准为每人每天</w:t>
      </w:r>
      <w:r>
        <w:rPr>
          <w:rFonts w:hint="eastAsia" w:ascii="Times New Roman" w:hAnsi="Times New Roman" w:eastAsia="仿宋_GB2312" w:cs="Times New Roman"/>
          <w:color w:val="000000"/>
          <w:sz w:val="32"/>
          <w:szCs w:val="32"/>
          <w:lang w:val="en-US" w:eastAsia="zh-CN"/>
        </w:rPr>
        <w:t>100</w:t>
      </w:r>
      <w:r>
        <w:rPr>
          <w:rFonts w:hint="eastAsia" w:ascii="仿宋_GB2312" w:hAnsi="仿宋_GB2312" w:eastAsia="仿宋_GB2312" w:cs="仿宋_GB2312"/>
          <w:color w:val="000000"/>
          <w:sz w:val="32"/>
          <w:szCs w:val="32"/>
          <w:lang w:val="en-US" w:eastAsia="zh-CN"/>
        </w:rPr>
        <w:t>元。</w:t>
      </w:r>
    </w:p>
    <w:p w14:paraId="0E18347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（三）市内交通费。按照出差自然（日历）天数包干补助，补助标准为每人每天</w:t>
      </w:r>
      <w:r>
        <w:rPr>
          <w:rFonts w:hint="eastAsia" w:ascii="Times New Roman" w:hAnsi="Times New Roman" w:eastAsia="仿宋_GB2312" w:cs="Times New Roman"/>
          <w:color w:val="000000"/>
          <w:sz w:val="32"/>
          <w:szCs w:val="32"/>
          <w:lang w:val="en-US" w:eastAsia="zh-CN"/>
        </w:rPr>
        <w:t>80</w:t>
      </w:r>
      <w:r>
        <w:rPr>
          <w:rFonts w:hint="eastAsia" w:ascii="仿宋_GB2312" w:hAnsi="仿宋_GB2312" w:eastAsia="仿宋_GB2312" w:cs="仿宋_GB2312"/>
          <w:color w:val="000000"/>
          <w:sz w:val="32"/>
          <w:szCs w:val="32"/>
          <w:lang w:val="en-US" w:eastAsia="zh-CN"/>
        </w:rPr>
        <w:t>元。</w:t>
      </w:r>
    </w:p>
    <w:p w14:paraId="7A940BD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Style w:val="14"/>
          <w:rFonts w:hint="eastAsia" w:ascii="黑体" w:hAnsi="黑体" w:eastAsia="黑体" w:cs="黑体"/>
          <w:b w:val="0"/>
          <w:bCs/>
          <w:color w:val="auto"/>
          <w:kern w:val="0"/>
          <w:sz w:val="32"/>
          <w:szCs w:val="32"/>
          <w:shd w:val="clear" w:color="auto" w:fill="FFFFFF"/>
          <w:lang w:val="en-US" w:eastAsia="zh-CN" w:bidi="ar"/>
        </w:rPr>
      </w:pPr>
    </w:p>
    <w:p w14:paraId="70574AC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Style w:val="14"/>
          <w:rFonts w:hint="eastAsia" w:ascii="黑体" w:hAnsi="黑体" w:eastAsia="黑体" w:cs="黑体"/>
          <w:b w:val="0"/>
          <w:bCs/>
          <w:color w:val="auto"/>
          <w:kern w:val="0"/>
          <w:sz w:val="32"/>
          <w:szCs w:val="32"/>
          <w:shd w:val="clear" w:color="auto" w:fill="FFFFFF"/>
          <w:lang w:val="en-US" w:eastAsia="zh-CN" w:bidi="ar"/>
        </w:rPr>
        <w:t>第九章 公务活动用餐费管理</w:t>
      </w:r>
    </w:p>
    <w:p w14:paraId="6D2BC08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第四十八条 </w:t>
      </w:r>
      <w:r>
        <w:rPr>
          <w:rFonts w:hint="eastAsia" w:ascii="仿宋_GB2312" w:hAnsi="仿宋_GB2312" w:eastAsia="仿宋_GB2312" w:cs="仿宋_GB2312"/>
          <w:color w:val="000000"/>
          <w:sz w:val="32"/>
          <w:szCs w:val="32"/>
          <w:lang w:val="en-US" w:eastAsia="zh-CN"/>
        </w:rPr>
        <w:t>公务活动用餐费是指本会工作人员出席会议、考察调研、执行任务、交流学习、检查指导、请示汇报等公务活动和单位加班发生的用餐费用。会议、培训和差旅用餐按照会议、培训和差旅的规定执行。公务接待费、加班用餐费、工作用餐费管理和开支标准参照长沙市委办公厅《长沙市党政机关国内公务接待实施办法》（长办发〔</w:t>
      </w:r>
      <w:r>
        <w:rPr>
          <w:rFonts w:hint="eastAsia" w:ascii="Times New Roman" w:hAnsi="Times New Roman" w:eastAsia="仿宋_GB2312" w:cs="Times New Roman"/>
          <w:color w:val="000000"/>
          <w:sz w:val="32"/>
          <w:szCs w:val="32"/>
          <w:lang w:val="en-US" w:eastAsia="zh-CN"/>
        </w:rPr>
        <w:t>2014</w:t>
      </w:r>
      <w:r>
        <w:rPr>
          <w:rFonts w:hint="eastAsia" w:ascii="仿宋_GB2312" w:hAnsi="仿宋_GB2312" w:eastAsia="仿宋_GB2312" w:cs="仿宋_GB2312"/>
          <w:color w:val="000000"/>
          <w:sz w:val="32"/>
          <w:szCs w:val="32"/>
          <w:lang w:val="en-US" w:eastAsia="zh-CN"/>
        </w:rPr>
        <w:t>〕</w:t>
      </w:r>
      <w:r>
        <w:rPr>
          <w:rFonts w:hint="eastAsia" w:ascii="Times New Roman" w:hAnsi="Times New Roman" w:eastAsia="仿宋_GB2312" w:cs="Times New Roman"/>
          <w:color w:val="000000"/>
          <w:sz w:val="32"/>
          <w:szCs w:val="32"/>
          <w:lang w:val="en-US" w:eastAsia="zh-CN"/>
        </w:rPr>
        <w:t>17</w:t>
      </w:r>
      <w:r>
        <w:rPr>
          <w:rFonts w:hint="eastAsia" w:ascii="仿宋_GB2312" w:hAnsi="仿宋_GB2312" w:eastAsia="仿宋_GB2312" w:cs="仿宋_GB2312"/>
          <w:color w:val="000000"/>
          <w:sz w:val="32"/>
          <w:szCs w:val="32"/>
          <w:lang w:val="en-US" w:eastAsia="zh-CN"/>
        </w:rPr>
        <w:t>号）、长沙市财政局、长沙市机关事务管理局《关于明确市直党政机关公务活动用餐有关事项的通知》（长财行〔</w:t>
      </w:r>
      <w:r>
        <w:rPr>
          <w:rFonts w:hint="eastAsia" w:ascii="Times New Roman" w:hAnsi="Times New Roman" w:eastAsia="仿宋_GB2312" w:cs="Times New Roman"/>
          <w:color w:val="000000"/>
          <w:sz w:val="32"/>
          <w:szCs w:val="32"/>
          <w:lang w:val="en-US" w:eastAsia="zh-CN"/>
        </w:rPr>
        <w:t>2018</w:t>
      </w:r>
      <w:r>
        <w:rPr>
          <w:rFonts w:hint="eastAsia" w:ascii="仿宋_GB2312" w:hAnsi="仿宋_GB2312" w:eastAsia="仿宋_GB2312" w:cs="仿宋_GB2312"/>
          <w:color w:val="000000"/>
          <w:sz w:val="32"/>
          <w:szCs w:val="32"/>
          <w:lang w:val="en-US" w:eastAsia="zh-CN"/>
        </w:rPr>
        <w:t>〕</w:t>
      </w:r>
      <w:r>
        <w:rPr>
          <w:rFonts w:hint="eastAsia" w:ascii="Times New Roman" w:hAnsi="Times New Roman" w:eastAsia="仿宋_GB2312" w:cs="Times New Roman"/>
          <w:color w:val="000000"/>
          <w:sz w:val="32"/>
          <w:szCs w:val="32"/>
          <w:lang w:val="en-US" w:eastAsia="zh-CN"/>
        </w:rPr>
        <w:t>12</w:t>
      </w:r>
      <w:r>
        <w:rPr>
          <w:rFonts w:hint="eastAsia" w:ascii="仿宋_GB2312" w:hAnsi="仿宋_GB2312" w:eastAsia="仿宋_GB2312" w:cs="仿宋_GB2312"/>
          <w:color w:val="000000"/>
          <w:sz w:val="32"/>
          <w:szCs w:val="32"/>
          <w:lang w:val="en-US" w:eastAsia="zh-CN"/>
        </w:rPr>
        <w:t>号）执行。</w:t>
      </w:r>
    </w:p>
    <w:p w14:paraId="29EF3E6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第四十九条 </w:t>
      </w:r>
      <w:r>
        <w:rPr>
          <w:rFonts w:hint="eastAsia" w:ascii="仿宋_GB2312" w:hAnsi="仿宋_GB2312" w:eastAsia="仿宋_GB2312" w:cs="仿宋_GB2312"/>
          <w:color w:val="000000"/>
          <w:sz w:val="32"/>
          <w:szCs w:val="32"/>
          <w:lang w:val="en-US" w:eastAsia="zh-CN"/>
        </w:rPr>
        <w:t>公务接待管理归口综合部，相关部门收到通知或来函，报分管副秘书长和秘书长批示后开展公务接待，事后如实填写《公务接待用餐清单》。公务接待用餐严格控制陪餐人员，接待人数在</w:t>
      </w:r>
      <w:r>
        <w:rPr>
          <w:rFonts w:hint="eastAsia" w:ascii="Times New Roman" w:hAnsi="Times New Roman" w:eastAsia="仿宋_GB2312" w:cs="Times New Roman"/>
          <w:color w:val="000000"/>
          <w:sz w:val="32"/>
          <w:szCs w:val="32"/>
          <w:lang w:val="en-US" w:eastAsia="zh-CN"/>
        </w:rPr>
        <w:t>10人以内的，陪餐人数不得超过3</w:t>
      </w:r>
      <w:r>
        <w:rPr>
          <w:rFonts w:hint="eastAsia" w:ascii="仿宋_GB2312" w:hAnsi="仿宋_GB2312" w:eastAsia="仿宋_GB2312" w:cs="仿宋_GB2312"/>
          <w:color w:val="000000"/>
          <w:sz w:val="32"/>
          <w:szCs w:val="32"/>
          <w:lang w:val="en-US" w:eastAsia="zh-CN"/>
        </w:rPr>
        <w:t>人；超过</w:t>
      </w:r>
      <w:r>
        <w:rPr>
          <w:rFonts w:hint="eastAsia" w:ascii="Times New Roman" w:hAnsi="Times New Roman" w:eastAsia="仿宋_GB2312" w:cs="Times New Roman"/>
          <w:color w:val="000000"/>
          <w:sz w:val="32"/>
          <w:szCs w:val="32"/>
          <w:lang w:val="en-US" w:eastAsia="zh-CN"/>
        </w:rPr>
        <w:t>10</w:t>
      </w:r>
      <w:r>
        <w:rPr>
          <w:rFonts w:hint="eastAsia" w:ascii="仿宋_GB2312" w:hAnsi="仿宋_GB2312" w:eastAsia="仿宋_GB2312" w:cs="仿宋_GB2312"/>
          <w:color w:val="000000"/>
          <w:sz w:val="32"/>
          <w:szCs w:val="32"/>
          <w:lang w:val="en-US" w:eastAsia="zh-CN"/>
        </w:rPr>
        <w:t>人的，不得超过接待对象人数的三分之一，确有必要的工作人员，可安排工作餐。接待外地人员，用餐标准限额为：省部级</w:t>
      </w:r>
      <w:r>
        <w:rPr>
          <w:rFonts w:hint="eastAsia" w:ascii="Times New Roman" w:hAnsi="Times New Roman" w:eastAsia="仿宋_GB2312" w:cs="Times New Roman"/>
          <w:color w:val="000000"/>
          <w:sz w:val="32"/>
          <w:szCs w:val="32"/>
          <w:lang w:val="en-US" w:eastAsia="zh-CN"/>
        </w:rPr>
        <w:t>200</w:t>
      </w:r>
      <w:r>
        <w:rPr>
          <w:rFonts w:hint="eastAsia" w:ascii="仿宋_GB2312" w:hAnsi="仿宋_GB2312" w:eastAsia="仿宋_GB2312" w:cs="仿宋_GB2312"/>
          <w:color w:val="000000"/>
          <w:sz w:val="32"/>
          <w:szCs w:val="32"/>
          <w:lang w:val="en-US" w:eastAsia="zh-CN"/>
        </w:rPr>
        <w:t>元/人·餐，厅局级</w:t>
      </w:r>
      <w:r>
        <w:rPr>
          <w:rFonts w:hint="eastAsia" w:ascii="Times New Roman" w:hAnsi="Times New Roman" w:eastAsia="仿宋_GB2312" w:cs="Times New Roman"/>
          <w:color w:val="000000"/>
          <w:sz w:val="32"/>
          <w:szCs w:val="32"/>
          <w:lang w:val="en-US" w:eastAsia="zh-CN"/>
        </w:rPr>
        <w:t>160</w:t>
      </w:r>
      <w:r>
        <w:rPr>
          <w:rFonts w:hint="eastAsia" w:ascii="仿宋_GB2312" w:hAnsi="仿宋_GB2312" w:eastAsia="仿宋_GB2312" w:cs="仿宋_GB2312"/>
          <w:color w:val="000000"/>
          <w:sz w:val="32"/>
          <w:szCs w:val="32"/>
          <w:lang w:val="en-US" w:eastAsia="zh-CN"/>
        </w:rPr>
        <w:t>元/人·餐，其他人员</w:t>
      </w:r>
      <w:r>
        <w:rPr>
          <w:rFonts w:hint="eastAsia" w:ascii="Times New Roman" w:hAnsi="Times New Roman" w:eastAsia="仿宋_GB2312" w:cs="Times New Roman"/>
          <w:color w:val="000000"/>
          <w:sz w:val="32"/>
          <w:szCs w:val="32"/>
          <w:lang w:val="en-US" w:eastAsia="zh-CN"/>
        </w:rPr>
        <w:t>140</w:t>
      </w:r>
      <w:r>
        <w:rPr>
          <w:rFonts w:hint="eastAsia" w:ascii="仿宋_GB2312" w:hAnsi="仿宋_GB2312" w:eastAsia="仿宋_GB2312" w:cs="仿宋_GB2312"/>
          <w:color w:val="000000"/>
          <w:sz w:val="32"/>
          <w:szCs w:val="32"/>
          <w:lang w:val="en-US" w:eastAsia="zh-CN"/>
        </w:rPr>
        <w:t>元/人·餐。接待长沙县、望城区、浏阳市、宁乡市区域范围内，用餐标准限额为：省部级</w:t>
      </w:r>
      <w:r>
        <w:rPr>
          <w:rFonts w:hint="eastAsia" w:ascii="Times New Roman" w:hAnsi="Times New Roman" w:eastAsia="仿宋_GB2312" w:cs="Times New Roman"/>
          <w:color w:val="000000"/>
          <w:sz w:val="32"/>
          <w:szCs w:val="32"/>
          <w:lang w:val="en-US" w:eastAsia="zh-CN"/>
        </w:rPr>
        <w:t>120</w:t>
      </w:r>
      <w:r>
        <w:rPr>
          <w:rFonts w:hint="eastAsia" w:ascii="仿宋_GB2312" w:hAnsi="仿宋_GB2312" w:eastAsia="仿宋_GB2312" w:cs="仿宋_GB2312"/>
          <w:color w:val="000000"/>
          <w:sz w:val="32"/>
          <w:szCs w:val="32"/>
          <w:lang w:val="en-US" w:eastAsia="zh-CN"/>
        </w:rPr>
        <w:t>元/人·餐，厅局级</w:t>
      </w:r>
      <w:r>
        <w:rPr>
          <w:rFonts w:hint="eastAsia" w:ascii="Times New Roman" w:hAnsi="Times New Roman" w:eastAsia="仿宋_GB2312" w:cs="Times New Roman"/>
          <w:color w:val="000000"/>
          <w:sz w:val="32"/>
          <w:szCs w:val="32"/>
          <w:lang w:val="en-US" w:eastAsia="zh-CN"/>
        </w:rPr>
        <w:t>100</w:t>
      </w:r>
      <w:r>
        <w:rPr>
          <w:rFonts w:hint="eastAsia" w:ascii="仿宋_GB2312" w:hAnsi="仿宋_GB2312" w:eastAsia="仿宋_GB2312" w:cs="仿宋_GB2312"/>
          <w:color w:val="000000"/>
          <w:sz w:val="32"/>
          <w:szCs w:val="32"/>
          <w:lang w:val="en-US" w:eastAsia="zh-CN"/>
        </w:rPr>
        <w:t>元/人·餐，其他人员</w:t>
      </w:r>
      <w:r>
        <w:rPr>
          <w:rFonts w:hint="eastAsia" w:ascii="Times New Roman" w:hAnsi="Times New Roman" w:eastAsia="仿宋_GB2312" w:cs="Times New Roman"/>
          <w:color w:val="000000"/>
          <w:sz w:val="32"/>
          <w:szCs w:val="32"/>
          <w:lang w:val="en-US" w:eastAsia="zh-CN"/>
        </w:rPr>
        <w:t>80</w:t>
      </w:r>
      <w:r>
        <w:rPr>
          <w:rFonts w:hint="eastAsia" w:ascii="仿宋_GB2312" w:hAnsi="仿宋_GB2312" w:eastAsia="仿宋_GB2312" w:cs="仿宋_GB2312"/>
          <w:color w:val="000000"/>
          <w:sz w:val="32"/>
          <w:szCs w:val="32"/>
          <w:lang w:val="en-US" w:eastAsia="zh-CN"/>
        </w:rPr>
        <w:t>元/人·餐。</w:t>
      </w:r>
    </w:p>
    <w:p w14:paraId="469805F0">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第五十条 </w:t>
      </w:r>
      <w:r>
        <w:rPr>
          <w:rFonts w:hint="eastAsia" w:ascii="仿宋_GB2312" w:hAnsi="仿宋_GB2312" w:eastAsia="仿宋_GB2312" w:cs="仿宋_GB2312"/>
          <w:color w:val="000000"/>
          <w:sz w:val="32"/>
          <w:szCs w:val="32"/>
          <w:lang w:val="en-US" w:eastAsia="zh-CN"/>
        </w:rPr>
        <w:t>接待费报账时应提供公务接待通知或来函、《公务接待用餐清单》、用餐发票、点菜单、电子结算单（公务卡结算单、转账的银行账号等）等凭证。财务部严格按规定审核公务接待费，对明显违反中央八项规定严禁事项、未履行审批程序或超标准开支的，不予报销。</w:t>
      </w:r>
    </w:p>
    <w:p w14:paraId="1689D07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第五十一条 </w:t>
      </w:r>
      <w:r>
        <w:rPr>
          <w:rFonts w:hint="eastAsia" w:ascii="仿宋_GB2312" w:hAnsi="仿宋_GB2312" w:eastAsia="仿宋_GB2312" w:cs="仿宋_GB2312"/>
          <w:color w:val="000000"/>
          <w:sz w:val="32"/>
          <w:szCs w:val="32"/>
          <w:lang w:val="en-US" w:eastAsia="zh-CN"/>
        </w:rPr>
        <w:t>工作餐为除会议、培训、差旅、公务接待之外的公务活动用餐，主要指本会干部职工因开展公务活动和加班无法回家或到单位食堂用餐，以及其他单位工作人员到本会开展公务活动发生的用餐。标准限额为：早餐</w:t>
      </w:r>
      <w:r>
        <w:rPr>
          <w:rFonts w:hint="eastAsia" w:ascii="Times New Roman" w:hAnsi="Times New Roman" w:eastAsia="仿宋_GB2312" w:cs="Times New Roman"/>
          <w:color w:val="000000"/>
          <w:sz w:val="32"/>
          <w:szCs w:val="32"/>
          <w:lang w:val="en-US" w:eastAsia="zh-CN"/>
        </w:rPr>
        <w:t>20</w:t>
      </w:r>
      <w:r>
        <w:rPr>
          <w:rFonts w:hint="eastAsia" w:ascii="仿宋_GB2312" w:hAnsi="仿宋_GB2312" w:eastAsia="仿宋_GB2312" w:cs="仿宋_GB2312"/>
          <w:color w:val="000000"/>
          <w:sz w:val="32"/>
          <w:szCs w:val="32"/>
          <w:lang w:val="en-US" w:eastAsia="zh-CN"/>
        </w:rPr>
        <w:t>元/人·餐，中晚餐各</w:t>
      </w:r>
      <w:r>
        <w:rPr>
          <w:rFonts w:hint="eastAsia" w:ascii="Times New Roman" w:hAnsi="Times New Roman" w:eastAsia="仿宋_GB2312" w:cs="Times New Roman"/>
          <w:color w:val="000000"/>
          <w:sz w:val="32"/>
          <w:szCs w:val="32"/>
          <w:lang w:val="en-US" w:eastAsia="zh-CN"/>
        </w:rPr>
        <w:t>40</w:t>
      </w:r>
      <w:r>
        <w:rPr>
          <w:rFonts w:hint="eastAsia" w:ascii="仿宋_GB2312" w:hAnsi="仿宋_GB2312" w:eastAsia="仿宋_GB2312" w:cs="仿宋_GB2312"/>
          <w:color w:val="000000"/>
          <w:sz w:val="32"/>
          <w:szCs w:val="32"/>
          <w:lang w:val="en-US" w:eastAsia="zh-CN"/>
        </w:rPr>
        <w:t>元/人·餐。</w:t>
      </w:r>
    </w:p>
    <w:p w14:paraId="77731DC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第五十二条 </w:t>
      </w:r>
      <w:r>
        <w:rPr>
          <w:rFonts w:hint="eastAsia" w:ascii="仿宋_GB2312" w:hAnsi="仿宋_GB2312" w:eastAsia="仿宋_GB2312" w:cs="仿宋_GB2312"/>
          <w:color w:val="000000"/>
          <w:sz w:val="32"/>
          <w:szCs w:val="32"/>
          <w:lang w:val="en-US" w:eastAsia="zh-CN"/>
        </w:rPr>
        <w:t>工作餐用餐前，需明确公务活动事由、时间、地点、人员、用餐原因，填写《工作餐审批表》，经分管副秘书长批准。其他单位工作人员到本单位开展公务活动需用工作餐，填写《工作餐审批表》时，应附相关依据或说明。外出公务活动时，因工作需要临时用餐的，应先报告分管副秘书长同意，回单位后两个工作日内补办审批。</w:t>
      </w:r>
    </w:p>
    <w:p w14:paraId="7C8C8E3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第五十三条 </w:t>
      </w:r>
      <w:r>
        <w:rPr>
          <w:rFonts w:hint="eastAsia" w:ascii="仿宋_GB2312" w:hAnsi="仿宋_GB2312" w:eastAsia="仿宋_GB2312" w:cs="仿宋_GB2312"/>
          <w:color w:val="000000"/>
          <w:sz w:val="32"/>
          <w:szCs w:val="32"/>
          <w:lang w:val="en-US" w:eastAsia="zh-CN"/>
        </w:rPr>
        <w:t>本会工作人员工作日和休息日在单位连续加班4小时以上的，可以安排一餐工作餐，休息日在单位连续加班8小时以上的，可以安排两餐工作餐。在值班室值班的，可以参照加班统一安排工作餐。</w:t>
      </w:r>
    </w:p>
    <w:p w14:paraId="12ABBB1F">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第五十四条 </w:t>
      </w:r>
      <w:r>
        <w:rPr>
          <w:rFonts w:hint="eastAsia" w:ascii="仿宋_GB2312" w:hAnsi="仿宋_GB2312" w:eastAsia="仿宋_GB2312" w:cs="仿宋_GB2312"/>
          <w:color w:val="000000"/>
          <w:sz w:val="32"/>
          <w:szCs w:val="32"/>
          <w:lang w:val="en-US" w:eastAsia="zh-CN"/>
        </w:rPr>
        <w:t>工作餐可以分次用餐，汇总结账报账（限同一用餐点）。工作用餐报账时应提供《工作用餐申请表》、用餐发票、点菜单（盒饭除外）、电子结算单（公务卡结算单、转账的银行账号等）等凭证，汇总结账的需提供汇总表。</w:t>
      </w:r>
    </w:p>
    <w:p w14:paraId="07CC8CE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第五十五条 </w:t>
      </w:r>
      <w:r>
        <w:rPr>
          <w:rFonts w:hint="eastAsia" w:ascii="仿宋_GB2312" w:hAnsi="仿宋_GB2312" w:eastAsia="仿宋_GB2312" w:cs="仿宋_GB2312"/>
          <w:color w:val="000000"/>
          <w:sz w:val="32"/>
          <w:szCs w:val="32"/>
          <w:lang w:val="en-US" w:eastAsia="zh-CN"/>
        </w:rPr>
        <w:t>本会工作人员到其他单位开展公务活动，按有关规定，可由接待单位按公务活动用餐标准安排用餐，不用缴纳用餐费用，并主动向对方单位提供相关通知、公函等文件。</w:t>
      </w:r>
    </w:p>
    <w:p w14:paraId="255EBC8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47367E0E">
      <w:pPr>
        <w:keepNext w:val="0"/>
        <w:keepLines w:val="0"/>
        <w:pageBreakBefore w:val="0"/>
        <w:widowControl w:val="0"/>
        <w:numPr>
          <w:ilvl w:val="0"/>
          <w:numId w:val="0"/>
        </w:numPr>
        <w:shd w:val="clear"/>
        <w:kinsoku/>
        <w:wordWrap/>
        <w:overflowPunct w:val="0"/>
        <w:topLinePunct w:val="0"/>
        <w:bidi w:val="0"/>
        <w:adjustRightInd/>
        <w:snapToGrid/>
        <w:spacing w:beforeAutospacing="0" w:afterAutospacing="0" w:line="600" w:lineRule="exact"/>
        <w:ind w:right="0" w:rightChars="0"/>
        <w:jc w:val="center"/>
        <w:rPr>
          <w:rFonts w:hint="eastAsia" w:ascii="仿宋_GB2312" w:hAnsi="仿宋_GB2312" w:eastAsia="仿宋_GB2312" w:cs="仿宋_GB2312"/>
          <w:sz w:val="32"/>
          <w:szCs w:val="32"/>
          <w:lang w:val="en-US" w:eastAsia="zh-CN"/>
        </w:rPr>
      </w:pPr>
      <w:r>
        <w:rPr>
          <w:rFonts w:hint="eastAsia" w:ascii="黑体" w:hAnsi="黑体" w:eastAsia="黑体" w:cs="黑体"/>
          <w:b w:val="0"/>
          <w:bCs w:val="0"/>
          <w:color w:val="000000"/>
          <w:sz w:val="32"/>
          <w:szCs w:val="32"/>
          <w:lang w:val="en-US" w:eastAsia="zh-CN"/>
        </w:rPr>
        <w:t>第十章 其他经费管理</w:t>
      </w:r>
    </w:p>
    <w:p w14:paraId="6A56F490">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第五十六条 </w:t>
      </w:r>
      <w:r>
        <w:rPr>
          <w:rFonts w:hint="eastAsia" w:ascii="仿宋_GB2312" w:hAnsi="仿宋_GB2312" w:eastAsia="仿宋_GB2312" w:cs="仿宋_GB2312"/>
          <w:color w:val="000000"/>
          <w:sz w:val="32"/>
          <w:szCs w:val="32"/>
          <w:lang w:val="en-US" w:eastAsia="zh-CN"/>
        </w:rPr>
        <w:t>本会职工工资、津贴补贴、奖金、福利费，各项社保缴费、住房公积金、个人所得税扣缴等支出，严格按照《长沙市慈善总会聘用人员薪酬管理办法》规定执行，由综合部负责制表、财务部审核，报分管财务副秘书长和秘书长审批。</w:t>
      </w:r>
    </w:p>
    <w:p w14:paraId="7AAD638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第五十七条 </w:t>
      </w:r>
      <w:r>
        <w:rPr>
          <w:rFonts w:hint="eastAsia" w:ascii="仿宋_GB2312" w:hAnsi="仿宋_GB2312" w:eastAsia="仿宋_GB2312" w:cs="仿宋_GB2312"/>
          <w:color w:val="000000"/>
          <w:sz w:val="32"/>
          <w:szCs w:val="32"/>
          <w:lang w:val="en-US" w:eastAsia="zh-CN"/>
        </w:rPr>
        <w:t>本会办公设备（固定资产除外）和用品归口局综合部管理，由综合部统一采购、统一领用、统一报账，其他部门未经批准不得自行购置。</w:t>
      </w:r>
    </w:p>
    <w:p w14:paraId="2F8A699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第五十八条 </w:t>
      </w:r>
      <w:r>
        <w:rPr>
          <w:rFonts w:hint="eastAsia" w:ascii="仿宋_GB2312" w:hAnsi="仿宋_GB2312" w:eastAsia="仿宋_GB2312" w:cs="仿宋_GB2312"/>
          <w:color w:val="000000"/>
          <w:sz w:val="32"/>
          <w:szCs w:val="32"/>
          <w:lang w:val="en-US" w:eastAsia="zh-CN"/>
        </w:rPr>
        <w:t>本会书报杂志的征订工作，各部门根据上级有关部门的具体要求，提出书报杂志征订申请，经综合部审核后，报分管副秘书长和秘书长批准。</w:t>
      </w:r>
    </w:p>
    <w:p w14:paraId="41823FA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第五十九条 </w:t>
      </w:r>
      <w:r>
        <w:rPr>
          <w:rFonts w:hint="eastAsia" w:ascii="仿宋_GB2312" w:hAnsi="仿宋_GB2312" w:eastAsia="仿宋_GB2312" w:cs="仿宋_GB2312"/>
          <w:color w:val="000000"/>
          <w:sz w:val="32"/>
          <w:szCs w:val="32"/>
          <w:lang w:val="en-US" w:eastAsia="zh-CN"/>
        </w:rPr>
        <w:t>本会复印、打印原则上由综合部管理，大批量资料复印、打印或本会不具备条件的，经综合部审核批准后可外出复印、打印。</w:t>
      </w:r>
    </w:p>
    <w:p w14:paraId="4C6F975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第六十条 </w:t>
      </w:r>
      <w:r>
        <w:rPr>
          <w:rFonts w:hint="eastAsia" w:ascii="仿宋_GB2312" w:hAnsi="仿宋_GB2312" w:eastAsia="仿宋_GB2312" w:cs="仿宋_GB2312"/>
          <w:color w:val="000000"/>
          <w:sz w:val="32"/>
          <w:szCs w:val="32"/>
          <w:lang w:val="en-US" w:eastAsia="zh-CN"/>
        </w:rPr>
        <w:t>本会日常维修由综合部负责统一申报、统一报账，其他部门未经批准不得自行维修。</w:t>
      </w:r>
    </w:p>
    <w:p w14:paraId="2EFFE98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619B09D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Fonts w:hint="eastAsia" w:ascii="黑体" w:hAnsi="黑体" w:eastAsia="黑体" w:cs="黑体"/>
          <w:b w:val="0"/>
          <w:bCs w:val="0"/>
          <w:color w:val="000000"/>
          <w:sz w:val="32"/>
          <w:szCs w:val="32"/>
          <w:lang w:val="en-US" w:eastAsia="zh-CN"/>
        </w:rPr>
        <w:t>第十一章 会计凭证和会计档案管理</w:t>
      </w:r>
    </w:p>
    <w:p w14:paraId="22AED200">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第六十一条 </w:t>
      </w:r>
      <w:r>
        <w:rPr>
          <w:rFonts w:hint="eastAsia" w:ascii="仿宋_GB2312" w:hAnsi="仿宋_GB2312" w:eastAsia="仿宋_GB2312" w:cs="仿宋_GB2312"/>
          <w:color w:val="000000"/>
          <w:sz w:val="32"/>
          <w:szCs w:val="32"/>
          <w:lang w:val="en-US" w:eastAsia="zh-CN"/>
        </w:rPr>
        <w:t>本会的会计档案包括会计凭证、会计账簿和财务报告等会计核算的专业材料。</w:t>
      </w:r>
    </w:p>
    <w:p w14:paraId="76852D8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第六十二条 </w:t>
      </w:r>
      <w:r>
        <w:rPr>
          <w:rFonts w:hint="eastAsia" w:ascii="仿宋_GB2312" w:hAnsi="仿宋_GB2312" w:eastAsia="仿宋_GB2312" w:cs="仿宋_GB2312"/>
          <w:color w:val="000000"/>
          <w:sz w:val="32"/>
          <w:szCs w:val="32"/>
          <w:lang w:val="en-US" w:eastAsia="zh-CN"/>
        </w:rPr>
        <w:t>会计档案的管理应严格按照《会计档案管理办法》进行，妥善保管，规范处置，严防毁损和散失。</w:t>
      </w:r>
    </w:p>
    <w:p w14:paraId="379B47E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第六十三条 </w:t>
      </w:r>
      <w:r>
        <w:rPr>
          <w:rFonts w:hint="eastAsia" w:ascii="仿宋_GB2312" w:hAnsi="仿宋_GB2312" w:eastAsia="仿宋_GB2312" w:cs="仿宋_GB2312"/>
          <w:color w:val="000000"/>
          <w:sz w:val="32"/>
          <w:szCs w:val="32"/>
          <w:lang w:val="en-US" w:eastAsia="zh-CN"/>
        </w:rPr>
        <w:t>本会的会计档案原则上不得出借，如有特殊需要，经秘书长批准，可提供查阅和复印，并办理登记手续，查阅人应保证会计档案的完整。</w:t>
      </w:r>
    </w:p>
    <w:p w14:paraId="413590C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第六十四条 </w:t>
      </w:r>
      <w:r>
        <w:rPr>
          <w:rFonts w:hint="eastAsia" w:ascii="仿宋_GB2312" w:hAnsi="仿宋_GB2312" w:eastAsia="仿宋_GB2312" w:cs="仿宋_GB2312"/>
          <w:color w:val="000000"/>
          <w:sz w:val="32"/>
          <w:szCs w:val="32"/>
          <w:lang w:val="en-US" w:eastAsia="zh-CN"/>
        </w:rPr>
        <w:t>本会的财务收支凭证（包括收据及票证）由财务人员统一购买，统一管理，其他部门和个人不得擅自购买和印制。</w:t>
      </w:r>
    </w:p>
    <w:p w14:paraId="2AA8D02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b w:val="0"/>
          <w:bCs w:val="0"/>
          <w:color w:val="000000"/>
          <w:sz w:val="32"/>
          <w:szCs w:val="32"/>
          <w:lang w:val="en-US" w:eastAsia="zh-CN"/>
        </w:rPr>
      </w:pPr>
    </w:p>
    <w:p w14:paraId="4D56AEE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Fonts w:hint="eastAsia" w:ascii="黑体" w:hAnsi="黑体" w:eastAsia="黑体" w:cs="黑体"/>
          <w:b w:val="0"/>
          <w:bCs w:val="0"/>
          <w:color w:val="000000"/>
          <w:sz w:val="32"/>
          <w:szCs w:val="32"/>
          <w:lang w:val="en-US" w:eastAsia="zh-CN"/>
        </w:rPr>
        <w:t>第十二章 票据管理制度</w:t>
      </w:r>
    </w:p>
    <w:p w14:paraId="76E6FA6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第六十五条 </w:t>
      </w:r>
      <w:r>
        <w:rPr>
          <w:rFonts w:hint="eastAsia" w:ascii="仿宋_GB2312" w:hAnsi="仿宋_GB2312" w:eastAsia="仿宋_GB2312" w:cs="仿宋_GB2312"/>
          <w:color w:val="000000"/>
          <w:sz w:val="32"/>
          <w:szCs w:val="32"/>
          <w:lang w:val="en-US" w:eastAsia="zh-CN"/>
        </w:rPr>
        <w:t>本会所有票据统一由财务部专人负责（以下简称专管员），专人管理，按规定领用、核销。</w:t>
      </w:r>
    </w:p>
    <w:p w14:paraId="0CDA665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第六十六条 </w:t>
      </w:r>
      <w:r>
        <w:rPr>
          <w:rFonts w:hint="eastAsia" w:ascii="仿宋_GB2312" w:hAnsi="仿宋_GB2312" w:eastAsia="仿宋_GB2312" w:cs="仿宋_GB2312"/>
          <w:color w:val="000000"/>
          <w:sz w:val="32"/>
          <w:szCs w:val="32"/>
          <w:lang w:val="en-US" w:eastAsia="zh-CN"/>
        </w:rPr>
        <w:t>非专管员、会计人员因特殊情况需领用收费票据，需经秘书长同意后，到财务部办理领用手续。</w:t>
      </w:r>
    </w:p>
    <w:p w14:paraId="1E50AB24">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第六十七条 </w:t>
      </w:r>
      <w:r>
        <w:rPr>
          <w:rFonts w:hint="eastAsia" w:ascii="仿宋_GB2312" w:hAnsi="仿宋_GB2312" w:eastAsia="仿宋_GB2312" w:cs="仿宋_GB2312"/>
          <w:color w:val="000000"/>
          <w:sz w:val="32"/>
          <w:szCs w:val="32"/>
          <w:lang w:val="en-US" w:eastAsia="zh-CN"/>
        </w:rPr>
        <w:t>工作人员使用票据，应遵守《财政票据管理办法》《会计法》等有关法律法规的规定，合理合法使用票据。开出票据金额需要转账，应由财务部提供开户账号。开出票据所收到的现金，原则上应在收款当天下班前交财务部存入银行。</w:t>
      </w:r>
    </w:p>
    <w:p w14:paraId="7A81E75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第六十八条 </w:t>
      </w:r>
      <w:r>
        <w:rPr>
          <w:rFonts w:hint="eastAsia" w:ascii="仿宋_GB2312" w:hAnsi="仿宋_GB2312" w:eastAsia="仿宋_GB2312" w:cs="仿宋_GB2312"/>
          <w:color w:val="000000"/>
          <w:sz w:val="32"/>
          <w:szCs w:val="32"/>
          <w:lang w:val="en-US" w:eastAsia="zh-CN"/>
        </w:rPr>
        <w:t>票据使用完毕后，应及时交还财务部销号。</w:t>
      </w:r>
    </w:p>
    <w:p w14:paraId="7BA8639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第六十九条 </w:t>
      </w:r>
      <w:r>
        <w:rPr>
          <w:rFonts w:hint="eastAsia" w:ascii="仿宋_GB2312" w:hAnsi="仿宋_GB2312" w:eastAsia="仿宋_GB2312" w:cs="仿宋_GB2312"/>
          <w:color w:val="000000"/>
          <w:sz w:val="32"/>
          <w:szCs w:val="32"/>
          <w:lang w:val="en-US" w:eastAsia="zh-CN"/>
        </w:rPr>
        <w:t>如遗失票据，应及时上报财务部，并立即办理登报遗失声明，费用由当事人承担，遗失的票据日后造成后果，并追究当事人的相关责任。</w:t>
      </w:r>
    </w:p>
    <w:p w14:paraId="3EDBC91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6A858F0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Fonts w:hint="eastAsia" w:ascii="黑体" w:hAnsi="黑体" w:eastAsia="黑体" w:cs="黑体"/>
          <w:b w:val="0"/>
          <w:bCs w:val="0"/>
          <w:color w:val="000000"/>
          <w:sz w:val="32"/>
          <w:szCs w:val="32"/>
          <w:lang w:val="en-US" w:eastAsia="zh-CN"/>
        </w:rPr>
        <w:t>第十三章 财务报告和分析</w:t>
      </w:r>
    </w:p>
    <w:p w14:paraId="6363D5B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第七十条 </w:t>
      </w:r>
      <w:r>
        <w:rPr>
          <w:rFonts w:hint="eastAsia" w:ascii="仿宋_GB2312" w:hAnsi="仿宋_GB2312" w:eastAsia="仿宋_GB2312" w:cs="仿宋_GB2312"/>
          <w:color w:val="000000"/>
          <w:sz w:val="32"/>
          <w:szCs w:val="32"/>
          <w:lang w:val="en-US" w:eastAsia="zh-CN"/>
        </w:rPr>
        <w:t>本会的财务报告应按照国家法律法规的规定编制，如实、完整地反映本会财务状况和事业发展成果。</w:t>
      </w:r>
    </w:p>
    <w:p w14:paraId="170CBE2C">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第七十一条 </w:t>
      </w:r>
      <w:r>
        <w:rPr>
          <w:rFonts w:hint="eastAsia" w:ascii="仿宋_GB2312" w:hAnsi="仿宋_GB2312" w:eastAsia="仿宋_GB2312" w:cs="仿宋_GB2312"/>
          <w:color w:val="000000"/>
          <w:sz w:val="32"/>
          <w:szCs w:val="32"/>
          <w:lang w:val="en-US" w:eastAsia="zh-CN"/>
        </w:rPr>
        <w:t>本会的财务会计报告由会计报表、会计报表附注和财务情况说明书组成，其中会计报表包括资产负债表、业务活动表和现金流量表。</w:t>
      </w:r>
    </w:p>
    <w:p w14:paraId="0C68BA6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第七十二条 </w:t>
      </w:r>
      <w:r>
        <w:rPr>
          <w:rFonts w:hint="eastAsia" w:ascii="仿宋_GB2312" w:hAnsi="仿宋_GB2312" w:eastAsia="仿宋_GB2312" w:cs="仿宋_GB2312"/>
          <w:color w:val="000000"/>
          <w:sz w:val="32"/>
          <w:szCs w:val="32"/>
          <w:lang w:val="en-US" w:eastAsia="zh-CN"/>
        </w:rPr>
        <w:t>财务分析是本会财务管理的重要组成部分，主要分析本会事业发展状况、年度预算执行情况、管理中存在的问题以及解决的建议和方法等。</w:t>
      </w:r>
    </w:p>
    <w:p w14:paraId="7AD0FA7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第七十三条 </w:t>
      </w:r>
      <w:r>
        <w:rPr>
          <w:rFonts w:hint="eastAsia" w:ascii="仿宋_GB2312" w:hAnsi="仿宋_GB2312" w:eastAsia="仿宋_GB2312" w:cs="仿宋_GB2312"/>
          <w:color w:val="000000"/>
          <w:sz w:val="32"/>
          <w:szCs w:val="32"/>
          <w:lang w:val="en-US" w:eastAsia="zh-CN"/>
        </w:rPr>
        <w:t>财务部应结合本会管理工作需要，在财务报表的基础上编制财务分析报告，并将分析报告上报会长办公会，为其决策提供参考。</w:t>
      </w:r>
    </w:p>
    <w:p w14:paraId="5AD678E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Fonts w:hint="eastAsia" w:ascii="黑体" w:hAnsi="黑体" w:eastAsia="黑体" w:cs="黑体"/>
          <w:b w:val="0"/>
          <w:bCs w:val="0"/>
          <w:color w:val="000000"/>
          <w:sz w:val="32"/>
          <w:szCs w:val="32"/>
          <w:lang w:val="en-US" w:eastAsia="zh-CN"/>
        </w:rPr>
        <w:t>第十四章 财务监督和检查</w:t>
      </w:r>
    </w:p>
    <w:p w14:paraId="49AC37A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第七十四条 </w:t>
      </w:r>
      <w:r>
        <w:rPr>
          <w:rFonts w:hint="eastAsia" w:ascii="仿宋_GB2312" w:hAnsi="仿宋_GB2312" w:eastAsia="仿宋_GB2312" w:cs="仿宋_GB2312"/>
          <w:color w:val="000000"/>
          <w:sz w:val="32"/>
          <w:szCs w:val="32"/>
          <w:lang w:val="en-US" w:eastAsia="zh-CN"/>
        </w:rPr>
        <w:t>为保证贯彻财务制度，维护财经纪律的严肃性，财务部要进行定期或不定期的自查，对存在的问题要及时采取措施予以纠正和完善。</w:t>
      </w:r>
    </w:p>
    <w:p w14:paraId="30F87F6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第七十五条 </w:t>
      </w:r>
      <w:r>
        <w:rPr>
          <w:rFonts w:hint="eastAsia" w:ascii="仿宋_GB2312" w:hAnsi="仿宋_GB2312" w:eastAsia="仿宋_GB2312" w:cs="仿宋_GB2312"/>
          <w:color w:val="000000"/>
          <w:sz w:val="32"/>
          <w:szCs w:val="32"/>
          <w:lang w:val="en-US" w:eastAsia="zh-CN"/>
        </w:rPr>
        <w:t>本会的财务管理工作接受税务、审计和会计主管部门依法实施的税务监督、审计监督和会计监督。</w:t>
      </w:r>
    </w:p>
    <w:p w14:paraId="0924C77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第七十六条 </w:t>
      </w:r>
      <w:r>
        <w:rPr>
          <w:rFonts w:hint="eastAsia" w:ascii="仿宋_GB2312" w:hAnsi="仿宋_GB2312" w:eastAsia="仿宋_GB2312" w:cs="仿宋_GB2312"/>
          <w:color w:val="000000"/>
          <w:sz w:val="32"/>
          <w:szCs w:val="32"/>
          <w:lang w:val="en-US" w:eastAsia="zh-CN"/>
        </w:rPr>
        <w:t>本会进行年检、换届、清算以及法人变动时，应当进行财务审计。</w:t>
      </w:r>
    </w:p>
    <w:p w14:paraId="18C68B8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第七十七条 </w:t>
      </w:r>
      <w:r>
        <w:rPr>
          <w:rFonts w:hint="eastAsia" w:ascii="仿宋_GB2312" w:hAnsi="仿宋_GB2312" w:eastAsia="仿宋_GB2312" w:cs="仿宋_GB2312"/>
          <w:color w:val="000000"/>
          <w:sz w:val="32"/>
          <w:szCs w:val="32"/>
          <w:lang w:val="en-US" w:eastAsia="zh-CN"/>
        </w:rPr>
        <w:t>财务部应按照《长沙市慈善总会信息公开办法》的要求及时准确地公开各项财务信息，其中包括：年度财务会计报告（会计报表、资产负债表、业务活动表、现金流量表、会计报表附注、财务情况说明书）、审计报告、捐赠榜、救助榜等。</w:t>
      </w:r>
    </w:p>
    <w:p w14:paraId="5556B6A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黑体" w:hAnsi="黑体" w:eastAsia="黑体" w:cs="黑体"/>
          <w:b w:val="0"/>
          <w:bCs w:val="0"/>
          <w:color w:val="000000"/>
          <w:sz w:val="32"/>
          <w:szCs w:val="32"/>
          <w:lang w:val="en-US" w:eastAsia="zh-CN"/>
        </w:rPr>
      </w:pPr>
    </w:p>
    <w:p w14:paraId="3733D983">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center"/>
        <w:rPr>
          <w:rFonts w:hint="eastAsia" w:ascii="仿宋_GB2312" w:hAnsi="仿宋_GB2312" w:eastAsia="仿宋_GB2312" w:cs="仿宋_GB2312"/>
          <w:color w:val="000000"/>
          <w:sz w:val="32"/>
          <w:szCs w:val="32"/>
          <w:lang w:val="en-US" w:eastAsia="zh-CN"/>
        </w:rPr>
      </w:pPr>
      <w:r>
        <w:rPr>
          <w:rFonts w:hint="eastAsia" w:ascii="黑体" w:hAnsi="黑体" w:eastAsia="黑体" w:cs="黑体"/>
          <w:b w:val="0"/>
          <w:bCs w:val="0"/>
          <w:color w:val="000000"/>
          <w:sz w:val="32"/>
          <w:szCs w:val="32"/>
          <w:lang w:val="en-US" w:eastAsia="zh-CN"/>
        </w:rPr>
        <w:t>第十五章 附则</w:t>
      </w:r>
    </w:p>
    <w:p w14:paraId="0612C07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第七十八条 </w:t>
      </w:r>
      <w:r>
        <w:rPr>
          <w:rFonts w:hint="eastAsia" w:ascii="仿宋_GB2312" w:hAnsi="仿宋_GB2312" w:eastAsia="仿宋_GB2312" w:cs="仿宋_GB2312"/>
          <w:color w:val="000000"/>
          <w:sz w:val="32"/>
          <w:szCs w:val="32"/>
          <w:lang w:val="en-US" w:eastAsia="zh-CN"/>
        </w:rPr>
        <w:t>本制度由财务部制定并负责解释。</w:t>
      </w:r>
    </w:p>
    <w:p w14:paraId="66D23C0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第七十九条 </w:t>
      </w:r>
      <w:r>
        <w:rPr>
          <w:rFonts w:hint="eastAsia" w:ascii="仿宋_GB2312" w:hAnsi="仿宋_GB2312" w:eastAsia="仿宋_GB2312" w:cs="仿宋_GB2312"/>
          <w:color w:val="000000"/>
          <w:sz w:val="32"/>
          <w:szCs w:val="32"/>
          <w:lang w:val="en-US" w:eastAsia="zh-CN"/>
        </w:rPr>
        <w:t>本制度于</w:t>
      </w:r>
      <w:r>
        <w:rPr>
          <w:rFonts w:hint="eastAsia" w:ascii="Times New Roman" w:hAnsi="Times New Roman" w:eastAsia="仿宋_GB2312" w:cs="Times New Roman"/>
          <w:color w:val="000000"/>
          <w:sz w:val="32"/>
          <w:szCs w:val="32"/>
          <w:lang w:val="en-US" w:eastAsia="zh-CN"/>
        </w:rPr>
        <w:t>2013年1月1日</w:t>
      </w:r>
      <w:r>
        <w:rPr>
          <w:rFonts w:hint="eastAsia" w:ascii="仿宋_GB2312" w:hAnsi="仿宋_GB2312" w:eastAsia="仿宋_GB2312" w:cs="仿宋_GB2312"/>
          <w:color w:val="000000"/>
          <w:sz w:val="32"/>
          <w:szCs w:val="32"/>
          <w:lang w:val="en-US" w:eastAsia="zh-CN"/>
        </w:rPr>
        <w:t>制定，</w:t>
      </w:r>
      <w:r>
        <w:rPr>
          <w:rFonts w:hint="eastAsia" w:ascii="Times New Roman" w:hAnsi="Times New Roman" w:eastAsia="仿宋_GB2312" w:cs="Times New Roman"/>
          <w:color w:val="000000"/>
          <w:sz w:val="32"/>
          <w:szCs w:val="32"/>
          <w:lang w:val="en-US" w:eastAsia="zh-CN"/>
        </w:rPr>
        <w:t>2025年7月16日</w:t>
      </w:r>
      <w:r>
        <w:rPr>
          <w:rFonts w:hint="eastAsia" w:ascii="仿宋_GB2312" w:hAnsi="仿宋_GB2312" w:eastAsia="仿宋_GB2312" w:cs="仿宋_GB2312"/>
          <w:color w:val="000000"/>
          <w:sz w:val="32"/>
          <w:szCs w:val="32"/>
          <w:lang w:val="en-US" w:eastAsia="zh-CN"/>
        </w:rPr>
        <w:t>进行第八次修订，自印发之日起执行。</w:t>
      </w:r>
    </w:p>
    <w:p w14:paraId="43843A3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val="en-US" w:eastAsia="zh-CN"/>
        </w:rPr>
      </w:pPr>
    </w:p>
    <w:p w14:paraId="23F828C4">
      <w:pPr>
        <w:pStyle w:val="16"/>
        <w:keepNext w:val="0"/>
        <w:keepLines w:val="0"/>
        <w:pageBreakBefore w:val="0"/>
        <w:widowControl w:val="0"/>
        <w:shd w:val="clear"/>
        <w:kinsoku/>
        <w:wordWrap/>
        <w:overflowPunct w:val="0"/>
        <w:topLinePunct w:val="0"/>
        <w:bidi w:val="0"/>
        <w:adjustRightInd/>
        <w:snapToGrid/>
        <w:spacing w:beforeAutospacing="0" w:after="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kern w:val="0"/>
          <w:sz w:val="32"/>
          <w:szCs w:val="32"/>
        </w:rPr>
        <w:t>附件：</w:t>
      </w:r>
      <w:r>
        <w:rPr>
          <w:rFonts w:hint="eastAsia" w:ascii="Times New Roman" w:hAnsi="Times New Roman" w:eastAsia="仿宋_GB2312" w:cs="Times New Roman"/>
          <w:color w:val="000000"/>
          <w:kern w:val="2"/>
          <w:sz w:val="32"/>
          <w:szCs w:val="32"/>
          <w:lang w:val="en-US" w:eastAsia="zh-CN" w:bidi="ar-SA"/>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val="0"/>
          <w:bCs w:val="0"/>
          <w:color w:val="000000"/>
          <w:sz w:val="32"/>
          <w:szCs w:val="32"/>
        </w:rPr>
        <w:t>长沙市</w:t>
      </w:r>
      <w:r>
        <w:rPr>
          <w:rFonts w:hint="eastAsia" w:ascii="仿宋_GB2312" w:hAnsi="仿宋_GB2312" w:eastAsia="仿宋_GB2312" w:cs="仿宋_GB2312"/>
          <w:b w:val="0"/>
          <w:bCs w:val="0"/>
          <w:color w:val="000000"/>
          <w:sz w:val="32"/>
          <w:szCs w:val="32"/>
          <w:lang w:val="en-US" w:eastAsia="zh-CN"/>
        </w:rPr>
        <w:t>慈善总会</w:t>
      </w:r>
      <w:r>
        <w:rPr>
          <w:rFonts w:hint="eastAsia" w:ascii="仿宋_GB2312" w:hAnsi="仿宋_GB2312" w:eastAsia="仿宋_GB2312" w:cs="仿宋_GB2312"/>
          <w:b w:val="0"/>
          <w:bCs w:val="0"/>
          <w:color w:val="000000"/>
          <w:sz w:val="32"/>
          <w:szCs w:val="32"/>
        </w:rPr>
        <w:t>经费申请事前审批</w:t>
      </w:r>
      <w:r>
        <w:rPr>
          <w:rFonts w:hint="eastAsia" w:ascii="仿宋_GB2312" w:hAnsi="仿宋_GB2312" w:eastAsia="仿宋_GB2312" w:cs="仿宋_GB2312"/>
          <w:b w:val="0"/>
          <w:bCs w:val="0"/>
          <w:color w:val="000000"/>
          <w:sz w:val="32"/>
          <w:szCs w:val="32"/>
          <w:lang w:val="en-US" w:eastAsia="zh-CN"/>
        </w:rPr>
        <w:t>表</w:t>
      </w:r>
    </w:p>
    <w:p w14:paraId="76D8085D">
      <w:pPr>
        <w:pStyle w:val="16"/>
        <w:keepNext w:val="0"/>
        <w:keepLines w:val="0"/>
        <w:pageBreakBefore w:val="0"/>
        <w:widowControl w:val="0"/>
        <w:numPr>
          <w:ilvl w:val="-1"/>
          <w:numId w:val="0"/>
        </w:numPr>
        <w:shd w:val="clear"/>
        <w:kinsoku/>
        <w:wordWrap/>
        <w:overflowPunct w:val="0"/>
        <w:topLinePunct w:val="0"/>
        <w:bidi w:val="0"/>
        <w:adjustRightInd/>
        <w:snapToGrid/>
        <w:spacing w:beforeAutospacing="0" w:after="0" w:afterAutospacing="0" w:line="600" w:lineRule="exact"/>
        <w:ind w:left="0" w:leftChars="0" w:right="0" w:rightChars="0" w:firstLine="1600" w:firstLineChars="500"/>
        <w:jc w:val="both"/>
        <w:rPr>
          <w:rFonts w:hint="eastAsia" w:ascii="仿宋_GB2312" w:hAnsi="仿宋_GB2312" w:eastAsia="仿宋_GB2312" w:cs="仿宋_GB2312"/>
          <w:color w:val="000000"/>
          <w:sz w:val="32"/>
          <w:szCs w:val="32"/>
        </w:rPr>
      </w:pPr>
      <w:r>
        <w:rPr>
          <w:rFonts w:hint="eastAsia" w:ascii="Times New Roman" w:hAnsi="Times New Roman" w:eastAsia="仿宋_GB2312" w:cs="Times New Roman"/>
          <w:color w:val="000000"/>
          <w:kern w:val="2"/>
          <w:sz w:val="32"/>
          <w:szCs w:val="32"/>
          <w:lang w:val="en-US" w:eastAsia="zh-CN" w:bidi="ar-SA"/>
        </w:rPr>
        <w:t>2</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长沙市慈善总会会议经费预算审批表</w:t>
      </w:r>
    </w:p>
    <w:p w14:paraId="45DBDCE6">
      <w:pPr>
        <w:keepNext w:val="0"/>
        <w:keepLines w:val="0"/>
        <w:pageBreakBefore w:val="0"/>
        <w:widowControl w:val="0"/>
        <w:shd w:val="clear"/>
        <w:kinsoku/>
        <w:wordWrap/>
        <w:overflowPunct w:val="0"/>
        <w:topLinePunct w:val="0"/>
        <w:bidi w:val="0"/>
        <w:adjustRightInd/>
        <w:snapToGrid/>
        <w:spacing w:beforeAutospacing="0" w:after="0" w:afterAutospacing="0" w:line="600" w:lineRule="exact"/>
        <w:ind w:left="0" w:leftChars="0" w:right="0" w:rightChars="0" w:firstLine="1600" w:firstLineChars="500"/>
        <w:jc w:val="both"/>
        <w:rPr>
          <w:rFonts w:hint="default" w:ascii="仿宋_GB2312" w:hAnsi="仿宋_GB2312" w:eastAsia="仿宋_GB2312" w:cs="仿宋_GB2312"/>
          <w:color w:val="000000"/>
          <w:sz w:val="32"/>
          <w:szCs w:val="32"/>
          <w:lang w:val="en-US"/>
        </w:rPr>
      </w:pPr>
      <w:r>
        <w:rPr>
          <w:rFonts w:hint="eastAsia" w:ascii="Times New Roman" w:hAnsi="Times New Roman" w:eastAsia="仿宋_GB2312" w:cs="Times New Roman"/>
          <w:color w:val="000000"/>
          <w:sz w:val="32"/>
          <w:szCs w:val="32"/>
          <w:lang w:val="en-US" w:eastAsia="zh-CN"/>
        </w:rPr>
        <w:t>3</w:t>
      </w:r>
      <w:r>
        <w:rPr>
          <w:rFonts w:hint="eastAsia" w:ascii="仿宋_GB2312" w:hAnsi="仿宋_GB2312" w:eastAsia="仿宋_GB2312" w:cs="仿宋_GB2312"/>
          <w:color w:val="000000"/>
          <w:sz w:val="32"/>
          <w:szCs w:val="32"/>
          <w:lang w:val="en-US" w:eastAsia="zh-CN"/>
        </w:rPr>
        <w:t>.长沙市慈善总会培训经费预算审批表</w:t>
      </w:r>
    </w:p>
    <w:p w14:paraId="277D989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　　　</w:t>
      </w:r>
      <w:r>
        <w:rPr>
          <w:rFonts w:hint="eastAsia" w:ascii="Times New Roman" w:hAnsi="Times New Roman" w:eastAsia="仿宋_GB2312" w:cs="Times New Roman"/>
          <w:color w:val="000000"/>
          <w:sz w:val="32"/>
          <w:szCs w:val="32"/>
          <w:lang w:val="en-US" w:eastAsia="zh-CN"/>
        </w:rPr>
        <w:t>4</w:t>
      </w:r>
      <w:r>
        <w:rPr>
          <w:rFonts w:hint="eastAsia" w:ascii="仿宋_GB2312" w:hAnsi="仿宋_GB2312" w:eastAsia="仿宋_GB2312" w:cs="仿宋_GB2312"/>
          <w:color w:val="000000"/>
          <w:sz w:val="32"/>
          <w:szCs w:val="32"/>
        </w:rPr>
        <w:t>.长沙市慈善总会公务接待审批单</w:t>
      </w:r>
    </w:p>
    <w:p w14:paraId="64F7305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　　　</w:t>
      </w:r>
      <w:r>
        <w:rPr>
          <w:rFonts w:hint="eastAsia" w:ascii="Times New Roman" w:hAnsi="Times New Roman" w:eastAsia="仿宋_GB2312" w:cs="Times New Roman"/>
          <w:color w:val="000000"/>
          <w:sz w:val="32"/>
          <w:szCs w:val="32"/>
          <w:lang w:val="en-US" w:eastAsia="zh-CN"/>
        </w:rPr>
        <w:t>5</w:t>
      </w:r>
      <w:r>
        <w:rPr>
          <w:rFonts w:hint="eastAsia" w:ascii="仿宋_GB2312" w:hAnsi="仿宋_GB2312" w:eastAsia="仿宋_GB2312" w:cs="仿宋_GB2312"/>
          <w:color w:val="000000"/>
          <w:sz w:val="32"/>
          <w:szCs w:val="32"/>
        </w:rPr>
        <w:t>.长沙市慈善总会公务接待用餐清单</w:t>
      </w:r>
    </w:p>
    <w:p w14:paraId="2A2F52D1">
      <w:pPr>
        <w:keepNext w:val="0"/>
        <w:keepLines w:val="0"/>
        <w:pageBreakBefore w:val="0"/>
        <w:widowControl w:val="0"/>
        <w:shd w:val="clear"/>
        <w:kinsoku/>
        <w:wordWrap/>
        <w:overflowPunct w:val="0"/>
        <w:topLinePunct w:val="0"/>
        <w:bidi w:val="0"/>
        <w:adjustRightInd/>
        <w:snapToGrid/>
        <w:spacing w:beforeAutospacing="0" w:afterAutospacing="0" w:line="600" w:lineRule="exact"/>
        <w:ind w:left="1212" w:leftChars="0" w:right="0" w:rightChars="0" w:hanging="1212" w:hangingChars="379"/>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　　　</w:t>
      </w:r>
      <w:r>
        <w:rPr>
          <w:rFonts w:hint="eastAsia" w:ascii="仿宋_GB2312" w:hAnsi="仿宋_GB2312" w:eastAsia="仿宋_GB2312" w:cs="仿宋_GB2312"/>
          <w:color w:val="000000"/>
          <w:sz w:val="32"/>
          <w:szCs w:val="32"/>
          <w:lang w:val="en-US" w:eastAsia="zh-CN"/>
        </w:rPr>
        <w:t xml:space="preserve">    </w:t>
      </w:r>
      <w:r>
        <w:rPr>
          <w:rFonts w:hint="eastAsia" w:ascii="Times New Roman" w:hAnsi="Times New Roman" w:eastAsia="仿宋_GB2312" w:cs="Times New Roman"/>
          <w:color w:val="000000"/>
          <w:sz w:val="32"/>
          <w:szCs w:val="32"/>
          <w:lang w:val="en-US" w:eastAsia="zh-CN"/>
        </w:rPr>
        <w:t>6</w:t>
      </w:r>
      <w:r>
        <w:rPr>
          <w:rFonts w:hint="eastAsia" w:ascii="仿宋_GB2312" w:hAnsi="仿宋_GB2312" w:eastAsia="仿宋_GB2312" w:cs="仿宋_GB2312"/>
          <w:color w:val="000000"/>
          <w:sz w:val="32"/>
          <w:szCs w:val="32"/>
        </w:rPr>
        <w:t>.长沙市慈善总会公务活动（加班）用餐申请表</w:t>
      </w:r>
    </w:p>
    <w:p w14:paraId="3BABBA1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　　　</w:t>
      </w:r>
      <w:r>
        <w:rPr>
          <w:rFonts w:hint="eastAsia" w:ascii="Times New Roman" w:hAnsi="Times New Roman" w:eastAsia="仿宋_GB2312" w:cs="Times New Roman"/>
          <w:color w:val="000000"/>
          <w:sz w:val="32"/>
          <w:szCs w:val="32"/>
          <w:lang w:val="en-US" w:eastAsia="zh-CN"/>
        </w:rPr>
        <w:t>7</w:t>
      </w:r>
      <w:r>
        <w:rPr>
          <w:rFonts w:hint="eastAsia" w:ascii="仿宋_GB2312" w:hAnsi="仿宋_GB2312" w:eastAsia="仿宋_GB2312" w:cs="仿宋_GB2312"/>
          <w:color w:val="000000"/>
          <w:sz w:val="32"/>
          <w:szCs w:val="32"/>
        </w:rPr>
        <w:t>.长沙市慈善总会办公设备维修申请表</w:t>
      </w:r>
    </w:p>
    <w:p w14:paraId="2007F09A">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　　　</w:t>
      </w:r>
      <w:r>
        <w:rPr>
          <w:rFonts w:hint="eastAsia" w:ascii="Times New Roman" w:hAnsi="Times New Roman" w:eastAsia="仿宋_GB2312" w:cs="Times New Roman"/>
          <w:color w:val="000000"/>
          <w:sz w:val="32"/>
          <w:szCs w:val="32"/>
          <w:lang w:val="en-US" w:eastAsia="zh-CN"/>
        </w:rPr>
        <w:t>8</w:t>
      </w:r>
      <w:r>
        <w:rPr>
          <w:rFonts w:hint="eastAsia" w:ascii="仿宋_GB2312" w:hAnsi="仿宋_GB2312" w:eastAsia="仿宋_GB2312" w:cs="仿宋_GB2312"/>
          <w:color w:val="000000"/>
          <w:sz w:val="32"/>
          <w:szCs w:val="32"/>
        </w:rPr>
        <w:t>.长沙市慈善总会差旅住宿费标准明细表</w:t>
      </w:r>
    </w:p>
    <w:p w14:paraId="4E4370E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rPr>
      </w:pPr>
    </w:p>
    <w:p w14:paraId="74EEE50D">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eastAsia" w:ascii="仿宋_GB2312" w:hAnsi="仿宋_GB2312" w:eastAsia="仿宋_GB2312" w:cs="仿宋_GB2312"/>
          <w:color w:val="000000"/>
          <w:sz w:val="32"/>
          <w:szCs w:val="32"/>
        </w:rPr>
      </w:pPr>
    </w:p>
    <w:p w14:paraId="49F115C5">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00" w:firstLineChars="200"/>
        <w:jc w:val="both"/>
        <w:rPr>
          <w:rFonts w:hint="default" w:ascii="Times New Roman" w:hAnsi="Times New Roman" w:eastAsia="仿宋_GB2312" w:cs="Times New Roman"/>
          <w:color w:val="000000"/>
          <w:sz w:val="30"/>
          <w:szCs w:val="30"/>
        </w:rPr>
      </w:pPr>
    </w:p>
    <w:p w14:paraId="1E18302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00" w:firstLineChars="200"/>
        <w:jc w:val="both"/>
        <w:rPr>
          <w:rFonts w:hint="default" w:ascii="Times New Roman" w:hAnsi="Times New Roman" w:eastAsia="仿宋_GB2312" w:cs="Times New Roman"/>
          <w:color w:val="000000"/>
          <w:sz w:val="30"/>
          <w:szCs w:val="30"/>
        </w:rPr>
      </w:pPr>
    </w:p>
    <w:p w14:paraId="13B93B6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00" w:firstLineChars="200"/>
        <w:jc w:val="both"/>
        <w:rPr>
          <w:rFonts w:hint="default" w:ascii="Times New Roman" w:hAnsi="Times New Roman" w:eastAsia="仿宋_GB2312" w:cs="Times New Roman"/>
          <w:color w:val="000000"/>
          <w:sz w:val="30"/>
          <w:szCs w:val="30"/>
        </w:rPr>
      </w:pPr>
    </w:p>
    <w:p w14:paraId="720D1BBE">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00" w:firstLineChars="200"/>
        <w:jc w:val="both"/>
        <w:rPr>
          <w:rFonts w:hint="default" w:ascii="Times New Roman" w:hAnsi="Times New Roman" w:eastAsia="仿宋_GB2312" w:cs="Times New Roman"/>
          <w:color w:val="000000"/>
          <w:sz w:val="30"/>
          <w:szCs w:val="30"/>
        </w:rPr>
      </w:pPr>
    </w:p>
    <w:p w14:paraId="4FC04406">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firstLine="640" w:firstLineChars="200"/>
        <w:jc w:val="both"/>
        <w:rPr>
          <w:rFonts w:hint="default" w:ascii="Times New Roman" w:hAnsi="Times New Roman" w:eastAsia="仿宋_GB2312" w:cs="Times New Roman"/>
          <w:color w:val="000000"/>
          <w:sz w:val="32"/>
          <w:szCs w:val="32"/>
        </w:rPr>
      </w:pPr>
    </w:p>
    <w:p w14:paraId="23215C18">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727EF07B">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3ED094D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5FC08EF7">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3F5AE929">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7C8F6E92">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0E23E6B0">
      <w:pPr>
        <w:keepNext w:val="0"/>
        <w:keepLines w:val="0"/>
        <w:pageBreakBefore w:val="0"/>
        <w:widowControl w:val="0"/>
        <w:shd w:val="clear"/>
        <w:kinsoku/>
        <w:wordWrap/>
        <w:overflowPunct w:val="0"/>
        <w:topLinePunct w:val="0"/>
        <w:bidi w:val="0"/>
        <w:adjustRightInd/>
        <w:snapToGrid/>
        <w:spacing w:beforeAutospacing="0" w:afterAutospacing="0" w:line="600" w:lineRule="exact"/>
        <w:ind w:left="0" w:leftChars="0" w:right="0" w:rightChars="0"/>
        <w:jc w:val="both"/>
        <w:rPr>
          <w:rFonts w:hint="default" w:ascii="Times New Roman" w:hAnsi="Times New Roman" w:eastAsia="仿宋_GB2312" w:cs="Times New Roman"/>
          <w:color w:val="000000"/>
          <w:sz w:val="30"/>
          <w:szCs w:val="30"/>
        </w:rPr>
      </w:pPr>
    </w:p>
    <w:p w14:paraId="0D8D6460">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val="en-US" w:eastAsia="zh-CN"/>
        </w:rPr>
      </w:pPr>
    </w:p>
    <w:p w14:paraId="0A5D8DBC">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default" w:ascii="Times New Roman" w:hAnsi="Times New Roman" w:eastAsia="黑体" w:cs="Times New Roman"/>
          <w:color w:val="000000"/>
          <w:sz w:val="30"/>
          <w:szCs w:val="30"/>
          <w:lang w:val="en-US" w:eastAsia="zh-CN"/>
        </w:rPr>
      </w:pPr>
      <w:r>
        <w:rPr>
          <w:rFonts w:hint="eastAsia" w:ascii="Times New Roman" w:hAnsi="Times New Roman" w:eastAsia="黑体" w:cs="Times New Roman"/>
          <w:color w:val="000000"/>
          <w:sz w:val="30"/>
          <w:szCs w:val="30"/>
          <w:lang w:val="en-US" w:eastAsia="zh-CN"/>
        </w:rPr>
        <w:t>附件1</w:t>
      </w:r>
    </w:p>
    <w:p w14:paraId="32B01028">
      <w:pPr>
        <w:keepNext w:val="0"/>
        <w:keepLines w:val="0"/>
        <w:pageBreakBefore w:val="0"/>
        <w:widowControl w:val="0"/>
        <w:kinsoku/>
        <w:wordWrap w:val="0"/>
        <w:overflowPunct/>
        <w:topLinePunct w:val="0"/>
        <w:autoSpaceDE/>
        <w:autoSpaceDN/>
        <w:bidi w:val="0"/>
        <w:adjustRightInd/>
        <w:snapToGrid/>
        <w:spacing w:before="0" w:after="0" w:line="480" w:lineRule="auto"/>
        <w:jc w:val="center"/>
        <w:textAlignment w:val="auto"/>
        <w:rPr>
          <w:rFonts w:hint="eastAsia" w:ascii="Times New Roman" w:hAnsi="Times New Roman" w:eastAsia="方正小标宋简体" w:cs="Times New Roman"/>
          <w:color w:val="000000"/>
          <w:kern w:val="0"/>
          <w:sz w:val="44"/>
          <w:szCs w:val="44"/>
          <w:lang w:val="en-US" w:eastAsia="zh-CN" w:bidi="ar-SA"/>
        </w:rPr>
      </w:pPr>
      <w:r>
        <w:rPr>
          <w:rFonts w:hint="eastAsia" w:ascii="Times New Roman" w:hAnsi="Times New Roman" w:eastAsia="方正小标宋简体" w:cs="Times New Roman"/>
          <w:color w:val="000000"/>
          <w:kern w:val="0"/>
          <w:sz w:val="44"/>
          <w:szCs w:val="44"/>
          <w:lang w:val="en-US" w:eastAsia="zh-CN" w:bidi="ar-SA"/>
        </w:rPr>
        <w:t>长沙市慈善总会经费申请事前</w:t>
      </w:r>
    </w:p>
    <w:p w14:paraId="49A0E10B">
      <w:pPr>
        <w:keepNext w:val="0"/>
        <w:keepLines w:val="0"/>
        <w:pageBreakBefore w:val="0"/>
        <w:widowControl w:val="0"/>
        <w:kinsoku/>
        <w:wordWrap w:val="0"/>
        <w:overflowPunct/>
        <w:topLinePunct w:val="0"/>
        <w:autoSpaceDE/>
        <w:autoSpaceDN/>
        <w:bidi w:val="0"/>
        <w:adjustRightInd/>
        <w:snapToGrid/>
        <w:spacing w:before="0" w:after="0" w:line="480" w:lineRule="auto"/>
        <w:jc w:val="center"/>
        <w:textAlignment w:val="auto"/>
        <w:rPr>
          <w:rFonts w:hint="default" w:ascii="Times New Roman" w:hAnsi="Times New Roman" w:eastAsia="方正小标宋简体" w:cs="Times New Roman"/>
          <w:color w:val="000000"/>
          <w:kern w:val="0"/>
          <w:sz w:val="44"/>
          <w:szCs w:val="44"/>
          <w:lang w:val="en-US" w:eastAsia="zh-CN" w:bidi="ar-SA"/>
        </w:rPr>
      </w:pPr>
      <w:r>
        <w:rPr>
          <w:rFonts w:hint="eastAsia" w:ascii="Times New Roman" w:hAnsi="Times New Roman" w:eastAsia="方正小标宋简体" w:cs="Times New Roman"/>
          <w:color w:val="000000"/>
          <w:kern w:val="0"/>
          <w:sz w:val="44"/>
          <w:szCs w:val="44"/>
          <w:lang w:val="en-US" w:eastAsia="zh-CN" w:bidi="ar-SA"/>
        </w:rPr>
        <w:t>审批表</w:t>
      </w:r>
    </w:p>
    <w:p w14:paraId="4E889F78">
      <w:pPr>
        <w:keepNext w:val="0"/>
        <w:keepLines w:val="0"/>
        <w:pageBreakBefore w:val="0"/>
        <w:widowControl w:val="0"/>
        <w:kinsoku/>
        <w:wordWrap w:val="0"/>
        <w:overflowPunct/>
        <w:topLinePunct w:val="0"/>
        <w:autoSpaceDE/>
        <w:autoSpaceDN/>
        <w:bidi w:val="0"/>
        <w:adjustRightInd/>
        <w:snapToGrid/>
        <w:spacing w:before="0" w:after="0" w:line="480" w:lineRule="auto"/>
        <w:jc w:val="both"/>
        <w:textAlignment w:val="auto"/>
        <w:rPr>
          <w:rFonts w:hint="eastAsia" w:ascii="宋体" w:hAnsi="宋体" w:eastAsia="宋体"/>
          <w:color w:val="000000"/>
          <w:sz w:val="24"/>
          <w:szCs w:val="24"/>
        </w:rPr>
      </w:pPr>
      <w:r>
        <w:rPr>
          <w:rFonts w:hint="eastAsia" w:ascii="宋体" w:hAnsi="宋体" w:eastAsia="宋体"/>
          <w:color w:val="000000"/>
          <w:sz w:val="24"/>
          <w:szCs w:val="24"/>
        </w:rPr>
        <w:t>申报部门：</w:t>
      </w:r>
      <w:r>
        <w:rPr>
          <w:rFonts w:hint="eastAsia" w:ascii="宋体" w:hAnsi="宋体" w:eastAsia="宋体"/>
          <w:color w:val="000000"/>
          <w:sz w:val="24"/>
          <w:szCs w:val="24"/>
        </w:rPr>
        <w:tab/>
      </w: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rPr>
        <w:t>申报时间：</w:t>
      </w: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rPr>
        <w:t>年</w:t>
      </w: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rPr>
        <w:t>月</w:t>
      </w:r>
      <w:r>
        <w:rPr>
          <w:rFonts w:hint="eastAsia" w:ascii="宋体" w:hAnsi="宋体" w:eastAsia="宋体"/>
          <w:color w:val="000000"/>
          <w:sz w:val="24"/>
          <w:szCs w:val="24"/>
          <w:lang w:val="en-US" w:eastAsia="zh-CN"/>
        </w:rPr>
        <w:t xml:space="preserve">  </w:t>
      </w:r>
      <w:r>
        <w:rPr>
          <w:rFonts w:hint="eastAsia" w:ascii="宋体" w:hAnsi="宋体" w:eastAsia="宋体"/>
          <w:color w:val="000000"/>
          <w:sz w:val="24"/>
          <w:szCs w:val="24"/>
        </w:rPr>
        <w:t>日</w:t>
      </w:r>
    </w:p>
    <w:tbl>
      <w:tblPr>
        <w:tblStyle w:val="11"/>
        <w:tblW w:w="8800" w:type="dxa"/>
        <w:tblInd w:w="-364" w:type="dxa"/>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Layout w:type="autofit"/>
        <w:tblCellMar>
          <w:top w:w="0" w:type="dxa"/>
          <w:left w:w="10" w:type="dxa"/>
          <w:bottom w:w="0" w:type="dxa"/>
          <w:right w:w="10" w:type="dxa"/>
        </w:tblCellMar>
      </w:tblPr>
      <w:tblGrid>
        <w:gridCol w:w="2440"/>
        <w:gridCol w:w="2022"/>
        <w:gridCol w:w="2042"/>
        <w:gridCol w:w="2296"/>
      </w:tblGrid>
      <w:tr w14:paraId="4027C0E5">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1107" w:hRule="atLeast"/>
        </w:trPr>
        <w:tc>
          <w:tcPr>
            <w:tcW w:w="2440" w:type="dxa"/>
            <w:tcBorders>
              <w:bottom w:val="single" w:color="000000" w:sz="4" w:space="0"/>
              <w:right w:val="single" w:color="000000" w:sz="4" w:space="0"/>
            </w:tcBorders>
            <w:vAlign w:val="top"/>
          </w:tcPr>
          <w:p w14:paraId="73CBC4AE">
            <w:pPr>
              <w:spacing w:before="297" w:after="0" w:line="239" w:lineRule="auto"/>
              <w:jc w:val="center"/>
              <w:rPr>
                <w:sz w:val="24"/>
                <w:szCs w:val="24"/>
              </w:rPr>
            </w:pPr>
            <w:r>
              <w:rPr>
                <w:rFonts w:hint="eastAsia" w:ascii="宋体" w:hAnsi="宋体" w:eastAsia="宋体"/>
                <w:color w:val="000000"/>
                <w:sz w:val="24"/>
                <w:szCs w:val="24"/>
              </w:rPr>
              <w:t>申请项目</w:t>
            </w:r>
          </w:p>
        </w:tc>
        <w:tc>
          <w:tcPr>
            <w:tcW w:w="6360" w:type="dxa"/>
            <w:gridSpan w:val="3"/>
            <w:tcBorders>
              <w:left w:val="single" w:color="000000" w:sz="4" w:space="0"/>
              <w:bottom w:val="single" w:color="000000" w:sz="4" w:space="0"/>
            </w:tcBorders>
            <w:vAlign w:val="center"/>
          </w:tcPr>
          <w:p w14:paraId="00181CD7">
            <w:pPr>
              <w:wordWrap w:val="0"/>
              <w:spacing w:before="0" w:after="0" w:line="384" w:lineRule="auto"/>
              <w:ind w:firstLine="0"/>
              <w:jc w:val="both"/>
              <w:rPr>
                <w:rFonts w:hint="eastAsia" w:ascii="宋体" w:hAnsi="宋体" w:eastAsia="宋体"/>
                <w:color w:val="000000"/>
                <w:sz w:val="24"/>
                <w:szCs w:val="24"/>
              </w:rPr>
            </w:pPr>
          </w:p>
        </w:tc>
      </w:tr>
      <w:tr w14:paraId="7E81F972">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1774" w:hRule="atLeast"/>
        </w:trPr>
        <w:tc>
          <w:tcPr>
            <w:tcW w:w="2440" w:type="dxa"/>
            <w:tcBorders>
              <w:top w:val="single" w:color="000000" w:sz="4" w:space="0"/>
              <w:bottom w:val="single" w:color="auto" w:sz="4" w:space="0"/>
              <w:right w:val="single" w:color="000000" w:sz="4" w:space="0"/>
            </w:tcBorders>
            <w:vAlign w:val="center"/>
          </w:tcPr>
          <w:p w14:paraId="0C00A7C1">
            <w:pPr>
              <w:wordWrap w:val="0"/>
              <w:spacing w:before="0" w:after="0" w:line="287" w:lineRule="auto"/>
              <w:ind w:firstLine="0"/>
              <w:jc w:val="both"/>
              <w:rPr>
                <w:rFonts w:hint="eastAsia" w:ascii="宋体" w:hAnsi="宋体" w:eastAsia="宋体"/>
                <w:color w:val="000000"/>
                <w:sz w:val="24"/>
                <w:szCs w:val="24"/>
              </w:rPr>
            </w:pPr>
          </w:p>
          <w:p w14:paraId="4F20B176">
            <w:pPr>
              <w:keepNext w:val="0"/>
              <w:keepLines w:val="0"/>
              <w:pageBreakBefore w:val="0"/>
              <w:widowControl w:val="0"/>
              <w:kinsoku/>
              <w:wordWrap/>
              <w:overflowPunct/>
              <w:topLinePunct w:val="0"/>
              <w:autoSpaceDE/>
              <w:autoSpaceDN/>
              <w:bidi w:val="0"/>
              <w:adjustRightInd/>
              <w:snapToGrid/>
              <w:spacing w:beforeAutospacing="0" w:afterAutospacing="0" w:line="480" w:lineRule="auto"/>
              <w:ind w:firstLine="720" w:firstLineChars="300"/>
              <w:jc w:val="both"/>
              <w:textAlignment w:val="auto"/>
              <w:rPr>
                <w:rFonts w:hint="eastAsia" w:ascii="宋体" w:hAnsi="宋体" w:eastAsia="宋体"/>
                <w:color w:val="000000"/>
                <w:sz w:val="24"/>
                <w:szCs w:val="24"/>
              </w:rPr>
            </w:pPr>
            <w:r>
              <w:rPr>
                <w:rFonts w:hint="eastAsia" w:ascii="宋体" w:hAnsi="宋体" w:eastAsia="宋体"/>
                <w:color w:val="000000"/>
                <w:sz w:val="24"/>
                <w:szCs w:val="24"/>
              </w:rPr>
              <w:t>详细内容</w:t>
            </w:r>
          </w:p>
          <w:p w14:paraId="719DD5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240" w:firstLineChars="100"/>
              <w:jc w:val="both"/>
              <w:textAlignment w:val="auto"/>
              <w:rPr>
                <w:rFonts w:hint="eastAsia" w:ascii="宋体" w:hAnsi="宋体" w:eastAsia="宋体"/>
                <w:color w:val="000000"/>
                <w:sz w:val="24"/>
                <w:szCs w:val="24"/>
                <w:lang w:eastAsia="zh-CN"/>
              </w:rPr>
            </w:pP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可附具体情况</w:t>
            </w:r>
            <w:r>
              <w:rPr>
                <w:rFonts w:hint="eastAsia" w:ascii="宋体" w:hAnsi="宋体" w:eastAsia="宋体"/>
                <w:color w:val="000000"/>
                <w:sz w:val="24"/>
                <w:szCs w:val="24"/>
                <w:lang w:eastAsia="zh-CN"/>
              </w:rPr>
              <w:t>）</w:t>
            </w:r>
          </w:p>
          <w:p w14:paraId="1C611715">
            <w:pPr>
              <w:spacing w:beforeAutospacing="0" w:after="0" w:line="239" w:lineRule="auto"/>
              <w:jc w:val="both"/>
              <w:rPr>
                <w:sz w:val="24"/>
                <w:szCs w:val="24"/>
              </w:rPr>
            </w:pPr>
          </w:p>
        </w:tc>
        <w:tc>
          <w:tcPr>
            <w:tcW w:w="6360" w:type="dxa"/>
            <w:gridSpan w:val="3"/>
            <w:tcBorders>
              <w:top w:val="single" w:color="000000" w:sz="4" w:space="0"/>
              <w:left w:val="single" w:color="000000" w:sz="4" w:space="0"/>
              <w:bottom w:val="single" w:color="auto" w:sz="4" w:space="0"/>
            </w:tcBorders>
            <w:vAlign w:val="center"/>
          </w:tcPr>
          <w:p w14:paraId="0859D4C8">
            <w:pPr>
              <w:wordWrap w:val="0"/>
              <w:spacing w:before="0" w:after="0" w:line="384" w:lineRule="auto"/>
              <w:ind w:firstLine="0"/>
              <w:jc w:val="both"/>
              <w:rPr>
                <w:rFonts w:hint="eastAsia" w:ascii="宋体" w:hAnsi="宋体" w:eastAsia="宋体"/>
                <w:color w:val="000000"/>
                <w:sz w:val="24"/>
                <w:szCs w:val="24"/>
              </w:rPr>
            </w:pPr>
          </w:p>
        </w:tc>
      </w:tr>
      <w:tr w14:paraId="1E8DB82E">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937" w:hRule="atLeast"/>
        </w:trPr>
        <w:tc>
          <w:tcPr>
            <w:tcW w:w="2440" w:type="dxa"/>
            <w:tcBorders>
              <w:top w:val="single" w:color="auto" w:sz="4" w:space="0"/>
              <w:bottom w:val="single" w:color="000000" w:sz="4" w:space="0"/>
              <w:right w:val="single" w:color="000000" w:sz="4" w:space="0"/>
            </w:tcBorders>
            <w:vAlign w:val="center"/>
          </w:tcPr>
          <w:p w14:paraId="07BDE37F">
            <w:pPr>
              <w:spacing w:beforeAutospacing="0" w:after="0" w:line="239" w:lineRule="auto"/>
              <w:jc w:val="center"/>
              <w:rPr>
                <w:sz w:val="24"/>
                <w:szCs w:val="24"/>
              </w:rPr>
            </w:pPr>
            <w:r>
              <w:rPr>
                <w:rFonts w:hint="eastAsia" w:ascii="宋体" w:hAnsi="宋体" w:eastAsia="宋体"/>
                <w:color w:val="000000"/>
                <w:sz w:val="24"/>
                <w:szCs w:val="24"/>
              </w:rPr>
              <w:t>申请金额（元）</w:t>
            </w:r>
          </w:p>
        </w:tc>
        <w:tc>
          <w:tcPr>
            <w:tcW w:w="6360" w:type="dxa"/>
            <w:gridSpan w:val="3"/>
            <w:tcBorders>
              <w:top w:val="single" w:color="auto" w:sz="4" w:space="0"/>
              <w:left w:val="single" w:color="000000" w:sz="4" w:space="0"/>
              <w:bottom w:val="single" w:color="000000" w:sz="4" w:space="0"/>
            </w:tcBorders>
            <w:vAlign w:val="center"/>
          </w:tcPr>
          <w:p w14:paraId="0CD50F07">
            <w:pPr>
              <w:wordWrap w:val="0"/>
              <w:spacing w:before="0" w:after="0" w:line="384" w:lineRule="auto"/>
              <w:ind w:firstLine="0"/>
              <w:jc w:val="both"/>
              <w:rPr>
                <w:rFonts w:hint="eastAsia" w:ascii="宋体" w:hAnsi="宋体" w:eastAsia="宋体"/>
                <w:color w:val="000000"/>
                <w:sz w:val="24"/>
                <w:szCs w:val="24"/>
              </w:rPr>
            </w:pPr>
          </w:p>
        </w:tc>
      </w:tr>
      <w:tr w14:paraId="25014928">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1338" w:hRule="atLeast"/>
        </w:trPr>
        <w:tc>
          <w:tcPr>
            <w:tcW w:w="2440" w:type="dxa"/>
            <w:tcBorders>
              <w:top w:val="single" w:color="000000" w:sz="4" w:space="0"/>
              <w:bottom w:val="single" w:color="000000" w:sz="4" w:space="0"/>
              <w:right w:val="single" w:color="000000" w:sz="4" w:space="0"/>
            </w:tcBorders>
            <w:vAlign w:val="top"/>
          </w:tcPr>
          <w:p w14:paraId="7A70B1A3">
            <w:pPr>
              <w:spacing w:before="597" w:after="0" w:line="239" w:lineRule="auto"/>
              <w:jc w:val="center"/>
              <w:rPr>
                <w:sz w:val="24"/>
                <w:szCs w:val="24"/>
              </w:rPr>
            </w:pPr>
            <w:r>
              <w:rPr>
                <w:rFonts w:hint="eastAsia" w:ascii="宋体" w:hAnsi="宋体" w:eastAsia="宋体"/>
                <w:color w:val="000000"/>
                <w:sz w:val="24"/>
                <w:szCs w:val="24"/>
              </w:rPr>
              <w:t>经费来源</w:t>
            </w:r>
          </w:p>
        </w:tc>
        <w:tc>
          <w:tcPr>
            <w:tcW w:w="6360" w:type="dxa"/>
            <w:gridSpan w:val="3"/>
            <w:tcBorders>
              <w:top w:val="single" w:color="000000" w:sz="4" w:space="0"/>
              <w:left w:val="single" w:color="000000" w:sz="4" w:space="0"/>
              <w:bottom w:val="single" w:color="000000" w:sz="4" w:space="0"/>
            </w:tcBorders>
            <w:vAlign w:val="center"/>
          </w:tcPr>
          <w:p w14:paraId="4A9F1049">
            <w:pPr>
              <w:wordWrap w:val="0"/>
              <w:spacing w:before="0" w:after="0" w:line="384" w:lineRule="auto"/>
              <w:ind w:firstLine="0"/>
              <w:jc w:val="both"/>
              <w:rPr>
                <w:rFonts w:hint="eastAsia" w:ascii="宋体" w:hAnsi="宋体" w:eastAsia="宋体"/>
                <w:color w:val="000000"/>
                <w:sz w:val="24"/>
                <w:szCs w:val="24"/>
              </w:rPr>
            </w:pPr>
          </w:p>
        </w:tc>
      </w:tr>
      <w:tr w14:paraId="655221D2">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1190" w:hRule="atLeast"/>
        </w:trPr>
        <w:tc>
          <w:tcPr>
            <w:tcW w:w="2440" w:type="dxa"/>
            <w:tcBorders>
              <w:top w:val="single" w:color="000000" w:sz="4" w:space="0"/>
              <w:bottom w:val="single" w:color="000000" w:sz="4" w:space="0"/>
              <w:right w:val="single" w:color="000000" w:sz="4" w:space="0"/>
            </w:tcBorders>
            <w:vAlign w:val="top"/>
          </w:tcPr>
          <w:p w14:paraId="5DA48C14">
            <w:pPr>
              <w:spacing w:before="125" w:after="0" w:line="239" w:lineRule="auto"/>
              <w:jc w:val="center"/>
              <w:rPr>
                <w:rFonts w:hint="eastAsia"/>
                <w:sz w:val="24"/>
                <w:szCs w:val="24"/>
                <w:lang w:val="en-US" w:eastAsia="zh-CN"/>
              </w:rPr>
            </w:pPr>
          </w:p>
          <w:p w14:paraId="0264FDE4">
            <w:pPr>
              <w:spacing w:before="125" w:after="0" w:line="239" w:lineRule="auto"/>
              <w:jc w:val="center"/>
              <w:rPr>
                <w:rFonts w:hint="eastAsia" w:eastAsiaTheme="minorEastAsia"/>
                <w:sz w:val="24"/>
                <w:szCs w:val="24"/>
                <w:lang w:val="en-US" w:eastAsia="zh-CN"/>
              </w:rPr>
            </w:pPr>
            <w:r>
              <w:rPr>
                <w:rFonts w:hint="eastAsia"/>
                <w:sz w:val="24"/>
                <w:szCs w:val="24"/>
                <w:lang w:val="en-US" w:eastAsia="zh-CN"/>
              </w:rPr>
              <w:t>经办人</w:t>
            </w:r>
          </w:p>
        </w:tc>
        <w:tc>
          <w:tcPr>
            <w:tcW w:w="2022" w:type="dxa"/>
            <w:tcBorders>
              <w:top w:val="single" w:color="000000" w:sz="4" w:space="0"/>
              <w:left w:val="single" w:color="000000" w:sz="4" w:space="0"/>
              <w:bottom w:val="single" w:color="000000" w:sz="4" w:space="0"/>
              <w:right w:val="single" w:color="000000" w:sz="4" w:space="0"/>
            </w:tcBorders>
            <w:vAlign w:val="center"/>
          </w:tcPr>
          <w:p w14:paraId="3DD644B1">
            <w:pPr>
              <w:wordWrap w:val="0"/>
              <w:spacing w:before="0" w:after="0" w:line="384" w:lineRule="auto"/>
              <w:ind w:firstLine="0"/>
              <w:jc w:val="both"/>
              <w:rPr>
                <w:rFonts w:hint="eastAsia" w:ascii="宋体" w:hAnsi="宋体" w:eastAsia="宋体"/>
                <w:color w:val="000000"/>
                <w:sz w:val="24"/>
                <w:szCs w:val="24"/>
              </w:rPr>
            </w:pPr>
          </w:p>
        </w:tc>
        <w:tc>
          <w:tcPr>
            <w:tcW w:w="2042" w:type="dxa"/>
            <w:tcBorders>
              <w:top w:val="single" w:color="000000" w:sz="4" w:space="0"/>
              <w:left w:val="single" w:color="000000" w:sz="4" w:space="0"/>
              <w:bottom w:val="single" w:color="000000" w:sz="4" w:space="0"/>
              <w:right w:val="single" w:color="000000" w:sz="4" w:space="0"/>
            </w:tcBorders>
            <w:vAlign w:val="top"/>
          </w:tcPr>
          <w:p w14:paraId="59568A9C">
            <w:pPr>
              <w:spacing w:before="457" w:after="0" w:line="239" w:lineRule="auto"/>
              <w:jc w:val="center"/>
              <w:rPr>
                <w:sz w:val="24"/>
                <w:szCs w:val="24"/>
              </w:rPr>
            </w:pPr>
            <w:r>
              <w:rPr>
                <w:rFonts w:hint="eastAsia" w:ascii="宋体" w:hAnsi="宋体" w:eastAsia="宋体"/>
                <w:color w:val="000000"/>
                <w:sz w:val="24"/>
                <w:szCs w:val="24"/>
              </w:rPr>
              <w:t>经办部门</w:t>
            </w:r>
          </w:p>
          <w:p w14:paraId="3EEC5337">
            <w:pPr>
              <w:spacing w:before="0" w:after="0" w:line="230" w:lineRule="auto"/>
              <w:jc w:val="center"/>
              <w:rPr>
                <w:sz w:val="24"/>
                <w:szCs w:val="24"/>
              </w:rPr>
            </w:pPr>
            <w:r>
              <w:rPr>
                <w:rFonts w:hint="eastAsia" w:ascii="宋体" w:hAnsi="宋体" w:eastAsia="宋体"/>
                <w:color w:val="000000"/>
                <w:sz w:val="24"/>
                <w:szCs w:val="24"/>
              </w:rPr>
              <w:t>负责人</w:t>
            </w:r>
          </w:p>
        </w:tc>
        <w:tc>
          <w:tcPr>
            <w:tcW w:w="2296" w:type="dxa"/>
            <w:tcBorders>
              <w:top w:val="single" w:color="000000" w:sz="4" w:space="0"/>
              <w:left w:val="single" w:color="000000" w:sz="4" w:space="0"/>
              <w:bottom w:val="single" w:color="000000" w:sz="4" w:space="0"/>
            </w:tcBorders>
            <w:vAlign w:val="center"/>
          </w:tcPr>
          <w:p w14:paraId="4D3C6D28">
            <w:pPr>
              <w:wordWrap w:val="0"/>
              <w:spacing w:before="0" w:after="0" w:line="384" w:lineRule="auto"/>
              <w:ind w:firstLine="0"/>
              <w:jc w:val="both"/>
              <w:rPr>
                <w:rFonts w:hint="eastAsia" w:ascii="宋体" w:hAnsi="宋体" w:eastAsia="宋体"/>
                <w:color w:val="000000"/>
                <w:sz w:val="24"/>
                <w:szCs w:val="24"/>
              </w:rPr>
            </w:pPr>
          </w:p>
        </w:tc>
      </w:tr>
      <w:tr w14:paraId="13F81096">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1417" w:hRule="atLeast"/>
        </w:trPr>
        <w:tc>
          <w:tcPr>
            <w:tcW w:w="2440" w:type="dxa"/>
            <w:tcBorders>
              <w:top w:val="single" w:color="000000" w:sz="4" w:space="0"/>
              <w:bottom w:val="single" w:color="000000" w:sz="4" w:space="0"/>
              <w:right w:val="single" w:color="000000" w:sz="4" w:space="0"/>
            </w:tcBorders>
            <w:vAlign w:val="top"/>
          </w:tcPr>
          <w:p w14:paraId="7DC558ED">
            <w:pPr>
              <w:spacing w:before="637" w:after="0" w:line="239" w:lineRule="auto"/>
              <w:jc w:val="center"/>
              <w:rPr>
                <w:rFonts w:hint="default" w:eastAsiaTheme="minorEastAsia"/>
                <w:sz w:val="24"/>
                <w:szCs w:val="24"/>
                <w:lang w:val="en-US" w:eastAsia="zh-CN"/>
              </w:rPr>
            </w:pPr>
            <w:r>
              <w:rPr>
                <w:rFonts w:hint="eastAsia"/>
                <w:sz w:val="24"/>
                <w:szCs w:val="24"/>
                <w:lang w:val="en-US" w:eastAsia="zh-CN"/>
              </w:rPr>
              <w:t>财务部负责人</w:t>
            </w:r>
          </w:p>
        </w:tc>
        <w:tc>
          <w:tcPr>
            <w:tcW w:w="2022" w:type="dxa"/>
            <w:tcBorders>
              <w:top w:val="single" w:color="000000" w:sz="4" w:space="0"/>
              <w:left w:val="single" w:color="000000" w:sz="4" w:space="0"/>
              <w:bottom w:val="single" w:color="000000" w:sz="4" w:space="0"/>
              <w:right w:val="single" w:color="000000" w:sz="4" w:space="0"/>
            </w:tcBorders>
            <w:vAlign w:val="center"/>
          </w:tcPr>
          <w:p w14:paraId="4D4A40C5">
            <w:pPr>
              <w:wordWrap w:val="0"/>
              <w:spacing w:before="0" w:after="0" w:line="384" w:lineRule="auto"/>
              <w:ind w:firstLine="0"/>
              <w:jc w:val="both"/>
              <w:rPr>
                <w:rFonts w:hint="eastAsia" w:ascii="宋体" w:hAnsi="宋体" w:eastAsia="宋体"/>
                <w:color w:val="000000"/>
                <w:sz w:val="24"/>
                <w:szCs w:val="24"/>
              </w:rPr>
            </w:pPr>
          </w:p>
        </w:tc>
        <w:tc>
          <w:tcPr>
            <w:tcW w:w="2042" w:type="dxa"/>
            <w:tcBorders>
              <w:top w:val="single" w:color="000000" w:sz="4" w:space="0"/>
              <w:left w:val="single" w:color="000000" w:sz="4" w:space="0"/>
              <w:bottom w:val="single" w:color="000000" w:sz="4" w:space="0"/>
              <w:right w:val="single" w:color="000000" w:sz="4" w:space="0"/>
            </w:tcBorders>
            <w:vAlign w:val="top"/>
          </w:tcPr>
          <w:p w14:paraId="41566433">
            <w:pPr>
              <w:spacing w:beforeAutospacing="0" w:after="0" w:line="239" w:lineRule="auto"/>
              <w:jc w:val="center"/>
              <w:rPr>
                <w:rFonts w:hint="eastAsia" w:ascii="宋体" w:hAnsi="宋体" w:eastAsia="宋体"/>
                <w:color w:val="000000"/>
                <w:sz w:val="24"/>
                <w:szCs w:val="24"/>
              </w:rPr>
            </w:pPr>
          </w:p>
          <w:p w14:paraId="3B7114E6">
            <w:pPr>
              <w:spacing w:beforeAutospacing="0" w:after="0" w:line="239" w:lineRule="auto"/>
              <w:jc w:val="center"/>
              <w:rPr>
                <w:rFonts w:hint="eastAsia" w:ascii="宋体" w:hAnsi="宋体" w:eastAsia="宋体"/>
                <w:color w:val="000000"/>
                <w:sz w:val="24"/>
                <w:szCs w:val="24"/>
              </w:rPr>
            </w:pPr>
          </w:p>
          <w:p w14:paraId="56CF26A4">
            <w:pPr>
              <w:spacing w:beforeAutospacing="0" w:after="0" w:line="239" w:lineRule="auto"/>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rPr>
              <w:t>分管</w:t>
            </w:r>
            <w:r>
              <w:rPr>
                <w:rFonts w:hint="eastAsia" w:ascii="宋体" w:hAnsi="宋体" w:eastAsia="宋体"/>
                <w:color w:val="000000"/>
                <w:sz w:val="24"/>
                <w:szCs w:val="24"/>
                <w:lang w:val="en-US" w:eastAsia="zh-CN"/>
              </w:rPr>
              <w:t>副秘书长</w:t>
            </w:r>
            <w:r>
              <w:rPr>
                <w:rFonts w:hint="eastAsia" w:ascii="宋体" w:hAnsi="宋体" w:eastAsia="宋体"/>
                <w:color w:val="000000"/>
                <w:sz w:val="24"/>
                <w:szCs w:val="24"/>
              </w:rPr>
              <w:t>意见</w:t>
            </w:r>
          </w:p>
        </w:tc>
        <w:tc>
          <w:tcPr>
            <w:tcW w:w="2296" w:type="dxa"/>
            <w:tcBorders>
              <w:top w:val="single" w:color="000000" w:sz="4" w:space="0"/>
              <w:left w:val="single" w:color="000000" w:sz="4" w:space="0"/>
              <w:bottom w:val="single" w:color="000000" w:sz="4" w:space="0"/>
            </w:tcBorders>
            <w:vAlign w:val="center"/>
          </w:tcPr>
          <w:p w14:paraId="317F4C40">
            <w:pPr>
              <w:wordWrap w:val="0"/>
              <w:spacing w:before="0" w:after="0" w:line="384" w:lineRule="auto"/>
              <w:ind w:firstLine="0"/>
              <w:jc w:val="both"/>
              <w:rPr>
                <w:rFonts w:hint="eastAsia" w:ascii="宋体" w:hAnsi="宋体" w:eastAsia="宋体"/>
                <w:color w:val="000000"/>
                <w:sz w:val="24"/>
                <w:szCs w:val="24"/>
              </w:rPr>
            </w:pPr>
          </w:p>
        </w:tc>
      </w:tr>
      <w:tr w14:paraId="43CECF32">
        <w:tblPrEx>
          <w:tblBorders>
            <w:top w:val="single" w:color="auto" w:sz="4" w:space="0"/>
            <w:left w:val="single" w:color="auto" w:sz="4" w:space="0"/>
            <w:bottom w:val="single" w:color="auto" w:sz="4" w:space="0"/>
            <w:right w:val="single" w:color="auto" w:sz="4" w:space="0"/>
            <w:insideH w:val="single" w:color="FFFFFF" w:sz="4" w:space="0"/>
            <w:insideV w:val="single" w:color="FFFFFF" w:sz="4" w:space="0"/>
          </w:tblBorders>
          <w:tblCellMar>
            <w:top w:w="0" w:type="dxa"/>
            <w:left w:w="10" w:type="dxa"/>
            <w:bottom w:w="0" w:type="dxa"/>
            <w:right w:w="10" w:type="dxa"/>
          </w:tblCellMar>
        </w:tblPrEx>
        <w:trPr>
          <w:trHeight w:val="1363" w:hRule="atLeast"/>
        </w:trPr>
        <w:tc>
          <w:tcPr>
            <w:tcW w:w="2440" w:type="dxa"/>
            <w:tcBorders>
              <w:top w:val="single" w:color="000000" w:sz="4" w:space="0"/>
              <w:right w:val="single" w:color="000000" w:sz="4" w:space="0"/>
            </w:tcBorders>
            <w:vAlign w:val="top"/>
          </w:tcPr>
          <w:p w14:paraId="6180908E">
            <w:pPr>
              <w:spacing w:before="52" w:after="0" w:line="239" w:lineRule="auto"/>
              <w:ind w:firstLine="720" w:firstLineChars="300"/>
              <w:jc w:val="both"/>
              <w:rPr>
                <w:rFonts w:hint="eastAsia" w:ascii="宋体" w:hAnsi="宋体" w:eastAsia="宋体"/>
                <w:color w:val="000000"/>
                <w:sz w:val="24"/>
                <w:szCs w:val="24"/>
              </w:rPr>
            </w:pPr>
          </w:p>
          <w:p w14:paraId="0C3AECCE">
            <w:pPr>
              <w:spacing w:before="52" w:after="0" w:line="239" w:lineRule="auto"/>
              <w:ind w:firstLine="240" w:firstLineChars="100"/>
              <w:jc w:val="center"/>
              <w:rPr>
                <w:sz w:val="24"/>
                <w:szCs w:val="24"/>
              </w:rPr>
            </w:pPr>
            <w:r>
              <w:rPr>
                <w:rFonts w:hint="eastAsia" w:ascii="宋体" w:hAnsi="宋体" w:eastAsia="宋体"/>
                <w:color w:val="000000"/>
                <w:sz w:val="24"/>
                <w:szCs w:val="24"/>
                <w:lang w:val="en-US" w:eastAsia="zh-CN"/>
              </w:rPr>
              <w:t>秘书长</w:t>
            </w:r>
            <w:r>
              <w:rPr>
                <w:rFonts w:hint="eastAsia" w:ascii="宋体" w:hAnsi="宋体" w:eastAsia="宋体"/>
                <w:color w:val="000000"/>
                <w:sz w:val="24"/>
                <w:szCs w:val="24"/>
              </w:rPr>
              <w:t>意见</w:t>
            </w:r>
          </w:p>
        </w:tc>
        <w:tc>
          <w:tcPr>
            <w:tcW w:w="6360" w:type="dxa"/>
            <w:gridSpan w:val="3"/>
            <w:tcBorders>
              <w:top w:val="single" w:color="000000" w:sz="4" w:space="0"/>
              <w:left w:val="single" w:color="000000" w:sz="4" w:space="0"/>
            </w:tcBorders>
            <w:vAlign w:val="center"/>
          </w:tcPr>
          <w:p w14:paraId="38FAA7EC">
            <w:pPr>
              <w:spacing w:before="12" w:after="0" w:line="239" w:lineRule="auto"/>
              <w:ind w:firstLine="240" w:firstLineChars="100"/>
              <w:jc w:val="center"/>
              <w:rPr>
                <w:rFonts w:hint="eastAsia" w:ascii="宋体" w:hAnsi="宋体" w:eastAsia="宋体"/>
                <w:color w:val="000000"/>
                <w:sz w:val="24"/>
                <w:szCs w:val="24"/>
                <w:lang w:val="en-US" w:eastAsia="zh-CN"/>
              </w:rPr>
            </w:pPr>
          </w:p>
          <w:p w14:paraId="72CF21C0">
            <w:pPr>
              <w:wordWrap w:val="0"/>
              <w:spacing w:before="0" w:after="0" w:line="384" w:lineRule="auto"/>
              <w:ind w:firstLine="0"/>
              <w:jc w:val="both"/>
              <w:rPr>
                <w:rFonts w:hint="eastAsia" w:ascii="宋体" w:hAnsi="宋体" w:eastAsia="宋体"/>
                <w:color w:val="000000"/>
                <w:sz w:val="24"/>
                <w:szCs w:val="24"/>
              </w:rPr>
            </w:pPr>
          </w:p>
        </w:tc>
      </w:tr>
    </w:tbl>
    <w:p w14:paraId="42BE23FC">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仿宋_GB2312" w:cs="Times New Roman"/>
          <w:color w:val="000000"/>
          <w:sz w:val="30"/>
          <w:szCs w:val="30"/>
          <w:lang w:val="en-US" w:eastAsia="zh-CN"/>
        </w:rPr>
        <w:sectPr>
          <w:footerReference r:id="rId3" w:type="default"/>
          <w:pgSz w:w="11905" w:h="16838"/>
          <w:pgMar w:top="1701" w:right="1587" w:bottom="1701" w:left="1587" w:header="851" w:footer="1417" w:gutter="0"/>
          <w:pgBorders>
            <w:top w:val="none" w:sz="0" w:space="0"/>
            <w:left w:val="none" w:sz="0" w:space="0"/>
            <w:bottom w:val="none" w:sz="0" w:space="0"/>
            <w:right w:val="none" w:sz="0" w:space="0"/>
          </w:pgBorders>
          <w:pgNumType w:fmt="decimal" w:start="1"/>
          <w:cols w:space="0" w:num="1"/>
          <w:rtlGutter w:val="0"/>
          <w:docGrid w:type="lines" w:linePitch="335" w:charSpace="0"/>
        </w:sectPr>
      </w:pPr>
      <w:r>
        <w:rPr>
          <w:rFonts w:hint="eastAsia" w:ascii="Times New Roman" w:hAnsi="Times New Roman" w:eastAsia="楷体_GB2312" w:cs="Times New Roman"/>
          <w:color w:val="000000"/>
          <w:sz w:val="24"/>
          <w:szCs w:val="24"/>
          <w:lang w:val="en-US" w:eastAsia="zh-CN"/>
        </w:rPr>
        <w:t>备注：</w:t>
      </w:r>
      <w:r>
        <w:rPr>
          <w:rFonts w:hint="default" w:ascii="Times New Roman" w:hAnsi="Times New Roman" w:eastAsia="楷体_GB2312" w:cs="Times New Roman"/>
          <w:color w:val="000000"/>
          <w:sz w:val="24"/>
          <w:szCs w:val="24"/>
          <w:lang w:val="en-US" w:eastAsia="zh-CN"/>
        </w:rPr>
        <w:t>预算内支出事项在1万元以下的直接报分管副秘书长审批，1万元及以上至2万元以内报秘书长审批</w:t>
      </w:r>
      <w:r>
        <w:rPr>
          <w:rFonts w:hint="eastAsia" w:ascii="Times New Roman" w:hAnsi="Times New Roman" w:eastAsia="楷体_GB2312" w:cs="Times New Roman"/>
          <w:color w:val="000000"/>
          <w:sz w:val="24"/>
          <w:szCs w:val="24"/>
          <w:lang w:val="en-US" w:eastAsia="zh-CN"/>
        </w:rPr>
        <w:t>。</w:t>
      </w:r>
    </w:p>
    <w:p w14:paraId="1F6F18F7">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2</w:t>
      </w:r>
    </w:p>
    <w:p w14:paraId="390C39A0">
      <w:pPr>
        <w:pStyle w:val="9"/>
        <w:keepNext w:val="0"/>
        <w:keepLines w:val="0"/>
        <w:pageBreakBefore w:val="0"/>
        <w:widowControl w:val="0"/>
        <w:shd w:val="clear"/>
        <w:kinsoku/>
        <w:wordWrap/>
        <w:overflowPunct w:val="0"/>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长沙市慈善总会会议经费预算审批表</w:t>
      </w:r>
    </w:p>
    <w:p w14:paraId="55486F53">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right="0" w:rightChars="0"/>
        <w:jc w:val="both"/>
        <w:textAlignment w:val="auto"/>
        <w:rPr>
          <w:rFonts w:hint="default" w:ascii="Times New Roman" w:hAnsi="Times New Roman" w:eastAsia="楷体_GB2312" w:cs="Times New Roman"/>
          <w:b/>
          <w:bCs/>
          <w:color w:val="000000"/>
          <w:sz w:val="28"/>
          <w:szCs w:val="28"/>
        </w:rPr>
      </w:pPr>
      <w:r>
        <w:rPr>
          <w:rFonts w:hint="default" w:ascii="Times New Roman" w:hAnsi="Times New Roman" w:eastAsia="楷体_GB2312" w:cs="Times New Roman"/>
          <w:b/>
          <w:bCs/>
          <w:color w:val="000000"/>
          <w:sz w:val="28"/>
          <w:szCs w:val="28"/>
        </w:rPr>
        <w:t>填报日期：</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年</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月</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日</w:t>
      </w:r>
    </w:p>
    <w:tbl>
      <w:tblPr>
        <w:tblStyle w:val="11"/>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3"/>
        <w:gridCol w:w="865"/>
        <w:gridCol w:w="2524"/>
        <w:gridCol w:w="1283"/>
        <w:gridCol w:w="1735"/>
        <w:gridCol w:w="1310"/>
        <w:gridCol w:w="1291"/>
        <w:gridCol w:w="1234"/>
        <w:gridCol w:w="1375"/>
      </w:tblGrid>
      <w:tr w14:paraId="72CC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70E34E8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会议名称</w:t>
            </w:r>
          </w:p>
        </w:tc>
        <w:tc>
          <w:tcPr>
            <w:tcW w:w="4672" w:type="dxa"/>
            <w:gridSpan w:val="3"/>
            <w:noWrap w:val="0"/>
            <w:vAlign w:val="center"/>
          </w:tcPr>
          <w:p w14:paraId="64DF857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35" w:type="dxa"/>
            <w:noWrap w:val="0"/>
            <w:vAlign w:val="center"/>
          </w:tcPr>
          <w:p w14:paraId="224C8F7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主办处室</w:t>
            </w:r>
          </w:p>
        </w:tc>
        <w:tc>
          <w:tcPr>
            <w:tcW w:w="5210" w:type="dxa"/>
            <w:gridSpan w:val="4"/>
            <w:noWrap w:val="0"/>
            <w:vAlign w:val="center"/>
          </w:tcPr>
          <w:p w14:paraId="18B4889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42DB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1DCE4D4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会议地点</w:t>
            </w:r>
          </w:p>
        </w:tc>
        <w:tc>
          <w:tcPr>
            <w:tcW w:w="3389" w:type="dxa"/>
            <w:gridSpan w:val="2"/>
            <w:noWrap w:val="0"/>
            <w:vAlign w:val="center"/>
          </w:tcPr>
          <w:p w14:paraId="6BD428D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83" w:type="dxa"/>
            <w:noWrap w:val="0"/>
            <w:vAlign w:val="center"/>
          </w:tcPr>
          <w:p w14:paraId="539E015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会议人数</w:t>
            </w:r>
          </w:p>
        </w:tc>
        <w:tc>
          <w:tcPr>
            <w:tcW w:w="1735" w:type="dxa"/>
            <w:noWrap w:val="0"/>
            <w:vAlign w:val="center"/>
          </w:tcPr>
          <w:p w14:paraId="3DDF3C3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0" w:type="dxa"/>
            <w:noWrap w:val="0"/>
            <w:vAlign w:val="center"/>
          </w:tcPr>
          <w:p w14:paraId="5615CCC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与会人数</w:t>
            </w:r>
          </w:p>
        </w:tc>
        <w:tc>
          <w:tcPr>
            <w:tcW w:w="1291" w:type="dxa"/>
            <w:noWrap w:val="0"/>
            <w:vAlign w:val="center"/>
          </w:tcPr>
          <w:p w14:paraId="17C9679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34" w:type="dxa"/>
            <w:noWrap w:val="0"/>
            <w:vAlign w:val="center"/>
          </w:tcPr>
          <w:p w14:paraId="62C135D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会议类别</w:t>
            </w:r>
          </w:p>
        </w:tc>
        <w:tc>
          <w:tcPr>
            <w:tcW w:w="1375" w:type="dxa"/>
            <w:noWrap w:val="0"/>
            <w:vAlign w:val="center"/>
          </w:tcPr>
          <w:p w14:paraId="7BD6A38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0361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0" w:type="dxa"/>
            <w:gridSpan w:val="5"/>
            <w:noWrap w:val="0"/>
            <w:vAlign w:val="center"/>
          </w:tcPr>
          <w:p w14:paraId="3A4EA92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经费预算</w:t>
            </w:r>
          </w:p>
        </w:tc>
        <w:tc>
          <w:tcPr>
            <w:tcW w:w="5210" w:type="dxa"/>
            <w:gridSpan w:val="4"/>
            <w:noWrap w:val="0"/>
            <w:vAlign w:val="center"/>
          </w:tcPr>
          <w:p w14:paraId="29CB3E9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财务部审核意见</w:t>
            </w:r>
          </w:p>
        </w:tc>
      </w:tr>
      <w:tr w14:paraId="32C6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0926C70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项目</w:t>
            </w:r>
          </w:p>
        </w:tc>
        <w:tc>
          <w:tcPr>
            <w:tcW w:w="865" w:type="dxa"/>
            <w:noWrap w:val="0"/>
            <w:vAlign w:val="center"/>
          </w:tcPr>
          <w:p w14:paraId="6F109BA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人数</w:t>
            </w:r>
          </w:p>
        </w:tc>
        <w:tc>
          <w:tcPr>
            <w:tcW w:w="2524" w:type="dxa"/>
            <w:noWrap w:val="0"/>
            <w:vAlign w:val="center"/>
          </w:tcPr>
          <w:p w14:paraId="3F2E276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标准</w:t>
            </w:r>
          </w:p>
        </w:tc>
        <w:tc>
          <w:tcPr>
            <w:tcW w:w="1283" w:type="dxa"/>
            <w:noWrap w:val="0"/>
            <w:vAlign w:val="center"/>
          </w:tcPr>
          <w:p w14:paraId="1981A10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金额（元）</w:t>
            </w:r>
          </w:p>
        </w:tc>
        <w:tc>
          <w:tcPr>
            <w:tcW w:w="1735" w:type="dxa"/>
            <w:noWrap w:val="0"/>
            <w:vAlign w:val="center"/>
          </w:tcPr>
          <w:p w14:paraId="56E6378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备注</w:t>
            </w:r>
          </w:p>
        </w:tc>
        <w:tc>
          <w:tcPr>
            <w:tcW w:w="2601" w:type="dxa"/>
            <w:gridSpan w:val="2"/>
            <w:noWrap w:val="0"/>
            <w:vAlign w:val="center"/>
          </w:tcPr>
          <w:p w14:paraId="52AE81A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金额（元）</w:t>
            </w:r>
          </w:p>
        </w:tc>
        <w:tc>
          <w:tcPr>
            <w:tcW w:w="2609" w:type="dxa"/>
            <w:gridSpan w:val="2"/>
            <w:noWrap w:val="0"/>
            <w:vAlign w:val="center"/>
          </w:tcPr>
          <w:p w14:paraId="01DC3A9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备注</w:t>
            </w:r>
          </w:p>
        </w:tc>
      </w:tr>
      <w:tr w14:paraId="793C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2A74437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住宿费</w:t>
            </w:r>
          </w:p>
        </w:tc>
        <w:tc>
          <w:tcPr>
            <w:tcW w:w="865" w:type="dxa"/>
            <w:noWrap w:val="0"/>
            <w:vAlign w:val="center"/>
          </w:tcPr>
          <w:p w14:paraId="7B11700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524" w:type="dxa"/>
            <w:noWrap w:val="0"/>
            <w:vAlign w:val="center"/>
          </w:tcPr>
          <w:p w14:paraId="0E49019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83" w:type="dxa"/>
            <w:noWrap w:val="0"/>
            <w:vAlign w:val="center"/>
          </w:tcPr>
          <w:p w14:paraId="205DFB4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35" w:type="dxa"/>
            <w:noWrap w:val="0"/>
            <w:vAlign w:val="center"/>
          </w:tcPr>
          <w:p w14:paraId="78D8B2B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6656210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7C8E1E9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7785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6A6F23D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餐费</w:t>
            </w:r>
          </w:p>
        </w:tc>
        <w:tc>
          <w:tcPr>
            <w:tcW w:w="865" w:type="dxa"/>
            <w:noWrap w:val="0"/>
            <w:vAlign w:val="center"/>
          </w:tcPr>
          <w:p w14:paraId="0DEE55D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524" w:type="dxa"/>
            <w:noWrap w:val="0"/>
            <w:vAlign w:val="center"/>
          </w:tcPr>
          <w:p w14:paraId="19751D0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83" w:type="dxa"/>
            <w:noWrap w:val="0"/>
            <w:vAlign w:val="center"/>
          </w:tcPr>
          <w:p w14:paraId="3039FC0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35" w:type="dxa"/>
            <w:noWrap w:val="0"/>
            <w:vAlign w:val="center"/>
          </w:tcPr>
          <w:p w14:paraId="13811DF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4089D7F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0608BB9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3B68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2F2D731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会议场租费</w:t>
            </w:r>
          </w:p>
        </w:tc>
        <w:tc>
          <w:tcPr>
            <w:tcW w:w="865" w:type="dxa"/>
            <w:noWrap w:val="0"/>
            <w:vAlign w:val="center"/>
          </w:tcPr>
          <w:p w14:paraId="27AC2EA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524" w:type="dxa"/>
            <w:noWrap w:val="0"/>
            <w:vAlign w:val="center"/>
          </w:tcPr>
          <w:p w14:paraId="381E768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83" w:type="dxa"/>
            <w:noWrap w:val="0"/>
            <w:vAlign w:val="center"/>
          </w:tcPr>
          <w:p w14:paraId="4E4BA80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35" w:type="dxa"/>
            <w:noWrap w:val="0"/>
            <w:vAlign w:val="center"/>
          </w:tcPr>
          <w:p w14:paraId="5D07B3B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30281AC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398D9D2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295B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287CA12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其他费用</w:t>
            </w:r>
          </w:p>
        </w:tc>
        <w:tc>
          <w:tcPr>
            <w:tcW w:w="865" w:type="dxa"/>
            <w:noWrap w:val="0"/>
            <w:vAlign w:val="center"/>
          </w:tcPr>
          <w:p w14:paraId="1E59F2A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524" w:type="dxa"/>
            <w:noWrap w:val="0"/>
            <w:vAlign w:val="center"/>
          </w:tcPr>
          <w:p w14:paraId="31F27D6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83" w:type="dxa"/>
            <w:noWrap w:val="0"/>
            <w:vAlign w:val="center"/>
          </w:tcPr>
          <w:p w14:paraId="5723092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35" w:type="dxa"/>
            <w:noWrap w:val="0"/>
            <w:vAlign w:val="center"/>
          </w:tcPr>
          <w:p w14:paraId="574C73B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45528A9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60E6D2B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42C5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3" w:type="dxa"/>
            <w:noWrap w:val="0"/>
            <w:vAlign w:val="center"/>
          </w:tcPr>
          <w:p w14:paraId="5D1CC82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合计</w:t>
            </w:r>
          </w:p>
        </w:tc>
        <w:tc>
          <w:tcPr>
            <w:tcW w:w="865" w:type="dxa"/>
            <w:noWrap w:val="0"/>
            <w:vAlign w:val="center"/>
          </w:tcPr>
          <w:p w14:paraId="7BC092B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524" w:type="dxa"/>
            <w:noWrap w:val="0"/>
            <w:vAlign w:val="center"/>
          </w:tcPr>
          <w:p w14:paraId="3D9586F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83" w:type="dxa"/>
            <w:noWrap w:val="0"/>
            <w:vAlign w:val="center"/>
          </w:tcPr>
          <w:p w14:paraId="4046B99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35" w:type="dxa"/>
            <w:noWrap w:val="0"/>
            <w:vAlign w:val="center"/>
          </w:tcPr>
          <w:p w14:paraId="7B00432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7BB0172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504445B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1C99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0" w:type="dxa"/>
            <w:gridSpan w:val="5"/>
            <w:noWrap w:val="0"/>
            <w:vAlign w:val="center"/>
          </w:tcPr>
          <w:p w14:paraId="689F6F3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部门负责人：</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经办人：</w:t>
            </w:r>
          </w:p>
        </w:tc>
        <w:tc>
          <w:tcPr>
            <w:tcW w:w="5210" w:type="dxa"/>
            <w:gridSpan w:val="4"/>
            <w:noWrap w:val="0"/>
            <w:vAlign w:val="center"/>
          </w:tcPr>
          <w:p w14:paraId="71F20FA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部门负责人：</w:t>
            </w:r>
          </w:p>
        </w:tc>
      </w:tr>
      <w:tr w14:paraId="6447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6945" w:type="dxa"/>
            <w:gridSpan w:val="4"/>
            <w:noWrap w:val="0"/>
            <w:vAlign w:val="top"/>
          </w:tcPr>
          <w:p w14:paraId="52B42DD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分管副秘书长意见：</w:t>
            </w:r>
            <w:r>
              <w:rPr>
                <w:rFonts w:hint="default" w:ascii="Times New Roman" w:hAnsi="Times New Roman" w:cs="Times New Roman" w:eastAsiaTheme="minorEastAsia"/>
                <w:color w:val="000000"/>
                <w:sz w:val="21"/>
                <w:szCs w:val="21"/>
                <w:lang w:eastAsia="zh-CN"/>
              </w:rPr>
              <w:t>　　　　　　　　　　　　　</w:t>
            </w:r>
          </w:p>
        </w:tc>
        <w:tc>
          <w:tcPr>
            <w:tcW w:w="6945" w:type="dxa"/>
            <w:gridSpan w:val="5"/>
            <w:noWrap w:val="0"/>
            <w:vAlign w:val="top"/>
          </w:tcPr>
          <w:p w14:paraId="2138B1E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秘书长意见：</w:t>
            </w:r>
          </w:p>
        </w:tc>
      </w:tr>
    </w:tbl>
    <w:p w14:paraId="47687E69">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val="en-US"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3</w:t>
      </w:r>
    </w:p>
    <w:p w14:paraId="395EB103">
      <w:pPr>
        <w:pStyle w:val="9"/>
        <w:keepNext w:val="0"/>
        <w:keepLines w:val="0"/>
        <w:pageBreakBefore w:val="0"/>
        <w:widowControl w:val="0"/>
        <w:shd w:val="clear"/>
        <w:kinsoku/>
        <w:wordWrap/>
        <w:overflowPunct w:val="0"/>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长沙市慈善</w:t>
      </w:r>
      <w:r>
        <w:rPr>
          <w:rFonts w:hint="eastAsia" w:ascii="Times New Roman" w:hAnsi="Times New Roman" w:eastAsia="方正小标宋简体" w:cs="Times New Roman"/>
          <w:color w:val="000000"/>
          <w:sz w:val="44"/>
          <w:szCs w:val="44"/>
          <w:lang w:val="en-US" w:eastAsia="zh-CN"/>
        </w:rPr>
        <w:t>总会培训</w:t>
      </w:r>
      <w:r>
        <w:rPr>
          <w:rFonts w:hint="default" w:ascii="Times New Roman" w:hAnsi="Times New Roman" w:eastAsia="方正小标宋简体" w:cs="Times New Roman"/>
          <w:color w:val="000000"/>
          <w:sz w:val="44"/>
          <w:szCs w:val="44"/>
          <w:lang w:val="en-US" w:eastAsia="zh-CN"/>
        </w:rPr>
        <w:t>经费预算审批表</w:t>
      </w:r>
    </w:p>
    <w:p w14:paraId="7DD69CE9">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right="0" w:rightChars="0"/>
        <w:jc w:val="both"/>
        <w:textAlignment w:val="auto"/>
        <w:rPr>
          <w:rFonts w:hint="default" w:ascii="Times New Roman" w:hAnsi="Times New Roman" w:eastAsia="楷体_GB2312" w:cs="Times New Roman"/>
          <w:b/>
          <w:bCs/>
          <w:color w:val="000000"/>
          <w:sz w:val="24"/>
          <w:szCs w:val="24"/>
        </w:rPr>
      </w:pPr>
      <w:r>
        <w:rPr>
          <w:rFonts w:hint="default" w:ascii="Times New Roman" w:hAnsi="Times New Roman" w:eastAsia="楷体_GB2312" w:cs="Times New Roman"/>
          <w:b/>
          <w:bCs/>
          <w:color w:val="000000"/>
          <w:sz w:val="24"/>
          <w:szCs w:val="24"/>
        </w:rPr>
        <w:t>填报日期：</w:t>
      </w:r>
      <w:r>
        <w:rPr>
          <w:rFonts w:hint="default" w:ascii="Times New Roman" w:hAnsi="Times New Roman" w:eastAsia="楷体_GB2312" w:cs="Times New Roman"/>
          <w:b/>
          <w:bCs/>
          <w:color w:val="000000"/>
          <w:sz w:val="24"/>
          <w:szCs w:val="24"/>
          <w:lang w:eastAsia="zh-CN"/>
        </w:rPr>
        <w:t>　　</w:t>
      </w:r>
      <w:r>
        <w:rPr>
          <w:rFonts w:hint="default" w:ascii="Times New Roman" w:hAnsi="Times New Roman" w:eastAsia="楷体_GB2312" w:cs="Times New Roman"/>
          <w:b/>
          <w:bCs/>
          <w:color w:val="000000"/>
          <w:sz w:val="24"/>
          <w:szCs w:val="24"/>
        </w:rPr>
        <w:t>年</w:t>
      </w:r>
      <w:r>
        <w:rPr>
          <w:rFonts w:hint="default" w:ascii="Times New Roman" w:hAnsi="Times New Roman" w:eastAsia="楷体_GB2312" w:cs="Times New Roman"/>
          <w:b/>
          <w:bCs/>
          <w:color w:val="000000"/>
          <w:sz w:val="24"/>
          <w:szCs w:val="24"/>
          <w:lang w:eastAsia="zh-CN"/>
        </w:rPr>
        <w:t>　　</w:t>
      </w:r>
      <w:r>
        <w:rPr>
          <w:rFonts w:hint="default" w:ascii="Times New Roman" w:hAnsi="Times New Roman" w:eastAsia="楷体_GB2312" w:cs="Times New Roman"/>
          <w:b/>
          <w:bCs/>
          <w:color w:val="000000"/>
          <w:sz w:val="24"/>
          <w:szCs w:val="24"/>
        </w:rPr>
        <w:t>月</w:t>
      </w:r>
      <w:r>
        <w:rPr>
          <w:rFonts w:hint="default" w:ascii="Times New Roman" w:hAnsi="Times New Roman" w:eastAsia="楷体_GB2312" w:cs="Times New Roman"/>
          <w:b/>
          <w:bCs/>
          <w:color w:val="000000"/>
          <w:sz w:val="24"/>
          <w:szCs w:val="24"/>
          <w:lang w:eastAsia="zh-CN"/>
        </w:rPr>
        <w:t>　　</w:t>
      </w:r>
      <w:r>
        <w:rPr>
          <w:rFonts w:hint="default" w:ascii="Times New Roman" w:hAnsi="Times New Roman" w:eastAsia="楷体_GB2312" w:cs="Times New Roman"/>
          <w:b/>
          <w:bCs/>
          <w:color w:val="000000"/>
          <w:sz w:val="24"/>
          <w:szCs w:val="24"/>
        </w:rPr>
        <w:t>日</w:t>
      </w:r>
    </w:p>
    <w:tbl>
      <w:tblPr>
        <w:tblStyle w:val="11"/>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096"/>
        <w:gridCol w:w="3010"/>
        <w:gridCol w:w="1283"/>
        <w:gridCol w:w="30"/>
        <w:gridCol w:w="1705"/>
        <w:gridCol w:w="1310"/>
        <w:gridCol w:w="1291"/>
        <w:gridCol w:w="1234"/>
        <w:gridCol w:w="1375"/>
      </w:tblGrid>
      <w:tr w14:paraId="57E4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3D92C60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color w:val="000000"/>
                <w:sz w:val="21"/>
                <w:szCs w:val="21"/>
                <w:lang w:val="en-US" w:eastAsia="zh-CN"/>
              </w:rPr>
              <w:t>培训</w:t>
            </w:r>
            <w:r>
              <w:rPr>
                <w:rFonts w:hint="default" w:ascii="Times New Roman" w:hAnsi="Times New Roman" w:cs="Times New Roman" w:eastAsiaTheme="minorEastAsia"/>
                <w:color w:val="000000"/>
                <w:sz w:val="21"/>
                <w:szCs w:val="21"/>
              </w:rPr>
              <w:t>名称</w:t>
            </w:r>
          </w:p>
        </w:tc>
        <w:tc>
          <w:tcPr>
            <w:tcW w:w="5419" w:type="dxa"/>
            <w:gridSpan w:val="4"/>
            <w:noWrap w:val="0"/>
            <w:vAlign w:val="center"/>
          </w:tcPr>
          <w:p w14:paraId="779D097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5AEFC92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主办</w:t>
            </w:r>
            <w:r>
              <w:rPr>
                <w:rFonts w:hint="eastAsia" w:ascii="Times New Roman" w:hAnsi="Times New Roman" w:cs="Times New Roman"/>
                <w:color w:val="000000"/>
                <w:sz w:val="21"/>
                <w:szCs w:val="21"/>
                <w:lang w:val="en-US" w:eastAsia="zh-CN"/>
              </w:rPr>
              <w:t>部门</w:t>
            </w:r>
          </w:p>
        </w:tc>
        <w:tc>
          <w:tcPr>
            <w:tcW w:w="5210" w:type="dxa"/>
            <w:gridSpan w:val="4"/>
            <w:noWrap w:val="0"/>
            <w:vAlign w:val="center"/>
          </w:tcPr>
          <w:p w14:paraId="145F99B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418D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25D3BC7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color w:val="000000"/>
                <w:sz w:val="21"/>
                <w:szCs w:val="21"/>
                <w:lang w:val="en-US" w:eastAsia="zh-CN"/>
              </w:rPr>
              <w:t>培训</w:t>
            </w:r>
            <w:r>
              <w:rPr>
                <w:rFonts w:hint="default" w:ascii="Times New Roman" w:hAnsi="Times New Roman" w:cs="Times New Roman" w:eastAsiaTheme="minorEastAsia"/>
                <w:color w:val="000000"/>
                <w:sz w:val="21"/>
                <w:szCs w:val="21"/>
              </w:rPr>
              <w:t>地点</w:t>
            </w:r>
          </w:p>
        </w:tc>
        <w:tc>
          <w:tcPr>
            <w:tcW w:w="4106" w:type="dxa"/>
            <w:gridSpan w:val="2"/>
            <w:noWrap w:val="0"/>
            <w:vAlign w:val="center"/>
          </w:tcPr>
          <w:p w14:paraId="777A44C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219035C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color w:val="000000"/>
                <w:sz w:val="21"/>
                <w:szCs w:val="21"/>
                <w:lang w:val="en-US" w:eastAsia="zh-CN"/>
              </w:rPr>
              <w:t>参训</w:t>
            </w:r>
            <w:r>
              <w:rPr>
                <w:rFonts w:hint="default" w:ascii="Times New Roman" w:hAnsi="Times New Roman" w:cs="Times New Roman" w:eastAsiaTheme="minorEastAsia"/>
                <w:color w:val="000000"/>
                <w:sz w:val="21"/>
                <w:szCs w:val="21"/>
              </w:rPr>
              <w:t>人数</w:t>
            </w:r>
          </w:p>
        </w:tc>
        <w:tc>
          <w:tcPr>
            <w:tcW w:w="1705" w:type="dxa"/>
            <w:noWrap w:val="0"/>
            <w:vAlign w:val="center"/>
          </w:tcPr>
          <w:p w14:paraId="6D8F576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0" w:type="dxa"/>
            <w:noWrap w:val="0"/>
            <w:vAlign w:val="center"/>
          </w:tcPr>
          <w:p w14:paraId="0D246EF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与会人数</w:t>
            </w:r>
          </w:p>
        </w:tc>
        <w:tc>
          <w:tcPr>
            <w:tcW w:w="1291" w:type="dxa"/>
            <w:noWrap w:val="0"/>
            <w:vAlign w:val="center"/>
          </w:tcPr>
          <w:p w14:paraId="70DF0E6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34" w:type="dxa"/>
            <w:noWrap w:val="0"/>
            <w:vAlign w:val="center"/>
          </w:tcPr>
          <w:p w14:paraId="7AE3A03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会议类别</w:t>
            </w:r>
          </w:p>
        </w:tc>
        <w:tc>
          <w:tcPr>
            <w:tcW w:w="1375" w:type="dxa"/>
            <w:noWrap w:val="0"/>
            <w:vAlign w:val="center"/>
          </w:tcPr>
          <w:p w14:paraId="215EC7B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1039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0" w:type="dxa"/>
            <w:gridSpan w:val="6"/>
            <w:noWrap w:val="0"/>
            <w:vAlign w:val="center"/>
          </w:tcPr>
          <w:p w14:paraId="071E9DC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经费预算</w:t>
            </w:r>
          </w:p>
        </w:tc>
        <w:tc>
          <w:tcPr>
            <w:tcW w:w="5210" w:type="dxa"/>
            <w:gridSpan w:val="4"/>
            <w:noWrap w:val="0"/>
            <w:vAlign w:val="center"/>
          </w:tcPr>
          <w:p w14:paraId="6F91A5E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财务部审核意见</w:t>
            </w:r>
          </w:p>
        </w:tc>
      </w:tr>
      <w:tr w14:paraId="6F41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5E3B628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项目</w:t>
            </w:r>
          </w:p>
        </w:tc>
        <w:tc>
          <w:tcPr>
            <w:tcW w:w="1096" w:type="dxa"/>
            <w:noWrap w:val="0"/>
            <w:vAlign w:val="center"/>
          </w:tcPr>
          <w:p w14:paraId="687785E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人数</w:t>
            </w:r>
          </w:p>
        </w:tc>
        <w:tc>
          <w:tcPr>
            <w:tcW w:w="3010" w:type="dxa"/>
            <w:noWrap w:val="0"/>
            <w:vAlign w:val="center"/>
          </w:tcPr>
          <w:p w14:paraId="3F43908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标准</w:t>
            </w:r>
          </w:p>
        </w:tc>
        <w:tc>
          <w:tcPr>
            <w:tcW w:w="1313" w:type="dxa"/>
            <w:gridSpan w:val="2"/>
            <w:noWrap w:val="0"/>
            <w:vAlign w:val="center"/>
          </w:tcPr>
          <w:p w14:paraId="72FBD49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金额（元）</w:t>
            </w:r>
          </w:p>
        </w:tc>
        <w:tc>
          <w:tcPr>
            <w:tcW w:w="1705" w:type="dxa"/>
            <w:noWrap w:val="0"/>
            <w:vAlign w:val="center"/>
          </w:tcPr>
          <w:p w14:paraId="76B6A3B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备注</w:t>
            </w:r>
          </w:p>
        </w:tc>
        <w:tc>
          <w:tcPr>
            <w:tcW w:w="2601" w:type="dxa"/>
            <w:gridSpan w:val="2"/>
            <w:noWrap w:val="0"/>
            <w:vAlign w:val="center"/>
          </w:tcPr>
          <w:p w14:paraId="15F7C14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金额（元）</w:t>
            </w:r>
          </w:p>
        </w:tc>
        <w:tc>
          <w:tcPr>
            <w:tcW w:w="2609" w:type="dxa"/>
            <w:gridSpan w:val="2"/>
            <w:noWrap w:val="0"/>
            <w:vAlign w:val="center"/>
          </w:tcPr>
          <w:p w14:paraId="6B8A162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备注</w:t>
            </w:r>
          </w:p>
        </w:tc>
      </w:tr>
      <w:tr w14:paraId="102A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450AF39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住宿费</w:t>
            </w:r>
          </w:p>
        </w:tc>
        <w:tc>
          <w:tcPr>
            <w:tcW w:w="1096" w:type="dxa"/>
            <w:noWrap w:val="0"/>
            <w:vAlign w:val="center"/>
          </w:tcPr>
          <w:p w14:paraId="24A96CA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3010" w:type="dxa"/>
            <w:noWrap w:val="0"/>
            <w:vAlign w:val="center"/>
          </w:tcPr>
          <w:p w14:paraId="4DD6FB6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3042D8F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5DAD736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7C8A4EA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49684C5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561F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3E9EA9B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餐费</w:t>
            </w:r>
          </w:p>
        </w:tc>
        <w:tc>
          <w:tcPr>
            <w:tcW w:w="1096" w:type="dxa"/>
            <w:noWrap w:val="0"/>
            <w:vAlign w:val="center"/>
          </w:tcPr>
          <w:p w14:paraId="639267B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3010" w:type="dxa"/>
            <w:noWrap w:val="0"/>
            <w:vAlign w:val="center"/>
          </w:tcPr>
          <w:p w14:paraId="7A679F8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065B87A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4CEB60F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61DFEEE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79709F8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274B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76707ED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会议场租费</w:t>
            </w:r>
          </w:p>
        </w:tc>
        <w:tc>
          <w:tcPr>
            <w:tcW w:w="1096" w:type="dxa"/>
            <w:noWrap w:val="0"/>
            <w:vAlign w:val="center"/>
          </w:tcPr>
          <w:p w14:paraId="22E4E53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3010" w:type="dxa"/>
            <w:noWrap w:val="0"/>
            <w:vAlign w:val="center"/>
          </w:tcPr>
          <w:p w14:paraId="6C68AF5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312D1A6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3AD86E6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04B263A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5E4E6D3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585B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5030940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color w:val="000000"/>
                <w:sz w:val="21"/>
                <w:szCs w:val="21"/>
                <w:lang w:val="en-US" w:eastAsia="zh-CN"/>
              </w:rPr>
              <w:t>授课费</w:t>
            </w:r>
          </w:p>
        </w:tc>
        <w:tc>
          <w:tcPr>
            <w:tcW w:w="1096" w:type="dxa"/>
            <w:noWrap w:val="0"/>
            <w:vAlign w:val="center"/>
          </w:tcPr>
          <w:p w14:paraId="27E7763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3010" w:type="dxa"/>
            <w:noWrap w:val="0"/>
            <w:vAlign w:val="center"/>
          </w:tcPr>
          <w:p w14:paraId="34E66AA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3694E17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6463225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1DEA0EB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0B9D6A8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7A1E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3EBA5A1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其他费用</w:t>
            </w:r>
          </w:p>
        </w:tc>
        <w:tc>
          <w:tcPr>
            <w:tcW w:w="1096" w:type="dxa"/>
            <w:noWrap w:val="0"/>
            <w:vAlign w:val="center"/>
          </w:tcPr>
          <w:p w14:paraId="7DA6374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3010" w:type="dxa"/>
            <w:noWrap w:val="0"/>
            <w:vAlign w:val="center"/>
          </w:tcPr>
          <w:p w14:paraId="65FB70E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17C9C37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5C3735F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14A57E0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52B64AA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5841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6" w:type="dxa"/>
            <w:noWrap w:val="0"/>
            <w:vAlign w:val="center"/>
          </w:tcPr>
          <w:p w14:paraId="2A8DA07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合计</w:t>
            </w:r>
          </w:p>
        </w:tc>
        <w:tc>
          <w:tcPr>
            <w:tcW w:w="1096" w:type="dxa"/>
            <w:noWrap w:val="0"/>
            <w:vAlign w:val="center"/>
          </w:tcPr>
          <w:p w14:paraId="7DB12A4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3010" w:type="dxa"/>
            <w:noWrap w:val="0"/>
            <w:vAlign w:val="center"/>
          </w:tcPr>
          <w:p w14:paraId="4C5E177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13" w:type="dxa"/>
            <w:gridSpan w:val="2"/>
            <w:noWrap w:val="0"/>
            <w:vAlign w:val="center"/>
          </w:tcPr>
          <w:p w14:paraId="5A831F7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5" w:type="dxa"/>
            <w:noWrap w:val="0"/>
            <w:vAlign w:val="center"/>
          </w:tcPr>
          <w:p w14:paraId="408F725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1" w:type="dxa"/>
            <w:gridSpan w:val="2"/>
            <w:noWrap w:val="0"/>
            <w:vAlign w:val="center"/>
          </w:tcPr>
          <w:p w14:paraId="1AF8297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2609" w:type="dxa"/>
            <w:gridSpan w:val="2"/>
            <w:noWrap w:val="0"/>
            <w:vAlign w:val="center"/>
          </w:tcPr>
          <w:p w14:paraId="0355FD5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63D9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0" w:type="dxa"/>
            <w:gridSpan w:val="6"/>
            <w:noWrap w:val="0"/>
            <w:vAlign w:val="center"/>
          </w:tcPr>
          <w:p w14:paraId="216B8FB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部门负责人：</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经办人：</w:t>
            </w:r>
          </w:p>
        </w:tc>
        <w:tc>
          <w:tcPr>
            <w:tcW w:w="5210" w:type="dxa"/>
            <w:gridSpan w:val="4"/>
            <w:noWrap w:val="0"/>
            <w:vAlign w:val="center"/>
          </w:tcPr>
          <w:p w14:paraId="17446DE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部门负责人：</w:t>
            </w:r>
          </w:p>
        </w:tc>
      </w:tr>
      <w:tr w14:paraId="7568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6945" w:type="dxa"/>
            <w:gridSpan w:val="4"/>
            <w:noWrap w:val="0"/>
            <w:vAlign w:val="top"/>
          </w:tcPr>
          <w:p w14:paraId="739C91F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分管</w:t>
            </w:r>
            <w:r>
              <w:rPr>
                <w:rFonts w:hint="eastAsia" w:ascii="Times New Roman" w:hAnsi="Times New Roman" w:cs="Times New Roman"/>
                <w:color w:val="000000"/>
                <w:sz w:val="21"/>
                <w:szCs w:val="21"/>
                <w:lang w:val="en-US" w:eastAsia="zh-CN"/>
              </w:rPr>
              <w:t>副秘书长</w:t>
            </w:r>
            <w:r>
              <w:rPr>
                <w:rFonts w:hint="default" w:ascii="Times New Roman" w:hAnsi="Times New Roman" w:cs="Times New Roman" w:eastAsiaTheme="minorEastAsia"/>
                <w:color w:val="000000"/>
                <w:sz w:val="21"/>
                <w:szCs w:val="21"/>
              </w:rPr>
              <w:t>意见：</w:t>
            </w:r>
            <w:r>
              <w:rPr>
                <w:rFonts w:hint="default" w:ascii="Times New Roman" w:hAnsi="Times New Roman" w:cs="Times New Roman"/>
                <w:color w:val="000000"/>
                <w:sz w:val="21"/>
                <w:szCs w:val="21"/>
                <w:lang w:eastAsia="zh-CN"/>
              </w:rPr>
              <w:t>　</w:t>
            </w:r>
          </w:p>
        </w:tc>
        <w:tc>
          <w:tcPr>
            <w:tcW w:w="6945" w:type="dxa"/>
            <w:gridSpan w:val="6"/>
            <w:noWrap w:val="0"/>
            <w:vAlign w:val="top"/>
          </w:tcPr>
          <w:p w14:paraId="6D76B4B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r>
              <w:rPr>
                <w:rFonts w:hint="eastAsia" w:ascii="Times New Roman" w:hAnsi="Times New Roman" w:cs="Times New Roman"/>
                <w:color w:val="000000"/>
                <w:sz w:val="21"/>
                <w:szCs w:val="21"/>
                <w:lang w:val="en-US" w:eastAsia="zh-CN"/>
              </w:rPr>
              <w:t>秘书长</w:t>
            </w:r>
            <w:r>
              <w:rPr>
                <w:rFonts w:hint="default" w:ascii="Times New Roman" w:hAnsi="Times New Roman" w:cs="Times New Roman" w:eastAsiaTheme="minorEastAsia"/>
                <w:color w:val="000000"/>
                <w:sz w:val="21"/>
                <w:szCs w:val="21"/>
              </w:rPr>
              <w:t>意见：</w:t>
            </w:r>
          </w:p>
        </w:tc>
      </w:tr>
    </w:tbl>
    <w:p w14:paraId="63E87DEB">
      <w:pPr>
        <w:keepNext w:val="0"/>
        <w:keepLines w:val="0"/>
        <w:pageBreakBefore w:val="0"/>
        <w:widowControl w:val="0"/>
        <w:shd w:val="clear"/>
        <w:kinsoku/>
        <w:overflowPunct w:val="0"/>
        <w:topLinePunct w:val="0"/>
        <w:bidi w:val="0"/>
        <w:spacing w:beforeAutospacing="0" w:afterAutospacing="0" w:line="600" w:lineRule="exact"/>
        <w:ind w:left="0" w:leftChars="0" w:right="0" w:rightChars="0" w:firstLine="600" w:firstLineChars="200"/>
        <w:jc w:val="both"/>
        <w:rPr>
          <w:rFonts w:hint="default" w:ascii="Times New Roman" w:hAnsi="Times New Roman" w:eastAsia="仿宋_GB2312" w:cs="Times New Roman"/>
          <w:color w:val="000000"/>
          <w:sz w:val="30"/>
          <w:szCs w:val="30"/>
        </w:rPr>
        <w:sectPr>
          <w:pgSz w:w="16838" w:h="11905" w:orient="landscape"/>
          <w:pgMar w:top="1587" w:right="1701" w:bottom="1587" w:left="1701" w:header="851" w:footer="1417" w:gutter="0"/>
          <w:pgBorders>
            <w:top w:val="none" w:sz="0" w:space="0"/>
            <w:left w:val="none" w:sz="0" w:space="0"/>
            <w:bottom w:val="none" w:sz="0" w:space="0"/>
            <w:right w:val="none" w:sz="0" w:space="0"/>
          </w:pgBorders>
          <w:pgNumType w:fmt="decimal"/>
          <w:cols w:space="0" w:num="1"/>
          <w:rtlGutter w:val="0"/>
          <w:docGrid w:type="lines" w:linePitch="335" w:charSpace="0"/>
        </w:sectPr>
      </w:pPr>
    </w:p>
    <w:p w14:paraId="688BC213">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4</w:t>
      </w:r>
    </w:p>
    <w:p w14:paraId="588E83B1">
      <w:pPr>
        <w:pStyle w:val="9"/>
        <w:keepNext w:val="0"/>
        <w:keepLines w:val="0"/>
        <w:pageBreakBefore w:val="0"/>
        <w:widowControl w:val="0"/>
        <w:shd w:val="clear"/>
        <w:kinsoku/>
        <w:wordWrap/>
        <w:overflowPunct w:val="0"/>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长沙市慈善总会公务接待审批单</w:t>
      </w:r>
    </w:p>
    <w:tbl>
      <w:tblPr>
        <w:tblStyle w:val="1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1258"/>
        <w:gridCol w:w="1223"/>
        <w:gridCol w:w="1702"/>
        <w:gridCol w:w="1498"/>
        <w:gridCol w:w="1474"/>
      </w:tblGrid>
      <w:tr w14:paraId="0C34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89" w:type="dxa"/>
            <w:noWrap w:val="0"/>
            <w:vAlign w:val="center"/>
          </w:tcPr>
          <w:p w14:paraId="320C4E5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来宾单位</w:t>
            </w:r>
          </w:p>
        </w:tc>
        <w:tc>
          <w:tcPr>
            <w:tcW w:w="4183" w:type="dxa"/>
            <w:gridSpan w:val="3"/>
            <w:noWrap w:val="0"/>
            <w:vAlign w:val="center"/>
          </w:tcPr>
          <w:p w14:paraId="1AC6EFE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498" w:type="dxa"/>
            <w:noWrap w:val="0"/>
            <w:vAlign w:val="center"/>
          </w:tcPr>
          <w:p w14:paraId="4187B59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公函日期</w:t>
            </w:r>
          </w:p>
        </w:tc>
        <w:tc>
          <w:tcPr>
            <w:tcW w:w="1474" w:type="dxa"/>
            <w:noWrap w:val="0"/>
            <w:vAlign w:val="center"/>
          </w:tcPr>
          <w:p w14:paraId="5B86190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p>
        </w:tc>
      </w:tr>
      <w:tr w14:paraId="1706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89" w:type="dxa"/>
            <w:vMerge w:val="restart"/>
            <w:noWrap w:val="0"/>
            <w:vAlign w:val="center"/>
          </w:tcPr>
          <w:p w14:paraId="540F9D4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公务内容</w:t>
            </w:r>
          </w:p>
        </w:tc>
        <w:tc>
          <w:tcPr>
            <w:tcW w:w="4183" w:type="dxa"/>
            <w:gridSpan w:val="3"/>
            <w:noWrap w:val="0"/>
            <w:vAlign w:val="center"/>
          </w:tcPr>
          <w:p w14:paraId="1DA4B1D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出席会议</w:t>
            </w:r>
            <w:r>
              <w:rPr>
                <w:rFonts w:hint="default" w:ascii="Times New Roman" w:hAnsi="Times New Roman" w:eastAsia="华文仿宋" w:cs="Times New Roman"/>
                <w:color w:val="000000"/>
                <w:sz w:val="21"/>
                <w:szCs w:val="21"/>
              </w:rPr>
              <w:sym w:font="Wingdings" w:char="00A8"/>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考察调研</w:t>
            </w:r>
            <w:r>
              <w:rPr>
                <w:rFonts w:hint="default" w:ascii="Times New Roman" w:hAnsi="Times New Roman" w:eastAsia="华文仿宋" w:cs="Times New Roman"/>
                <w:color w:val="000000"/>
                <w:sz w:val="21"/>
                <w:szCs w:val="21"/>
              </w:rPr>
              <w:sym w:font="Wingdings" w:char="00A8"/>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学习交流</w:t>
            </w:r>
            <w:r>
              <w:rPr>
                <w:rFonts w:hint="default" w:ascii="Times New Roman" w:hAnsi="Times New Roman" w:eastAsia="华文仿宋" w:cs="Times New Roman"/>
                <w:color w:val="000000"/>
                <w:sz w:val="21"/>
                <w:szCs w:val="21"/>
              </w:rPr>
              <w:sym w:font="Wingdings" w:char="00A8"/>
            </w:r>
          </w:p>
          <w:p w14:paraId="44DCA88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检查指导</w:t>
            </w:r>
            <w:r>
              <w:rPr>
                <w:rFonts w:hint="default" w:ascii="Times New Roman" w:hAnsi="Times New Roman" w:eastAsia="华文仿宋" w:cs="Times New Roman"/>
                <w:color w:val="000000"/>
                <w:sz w:val="21"/>
                <w:szCs w:val="21"/>
              </w:rPr>
              <w:sym w:font="Wingdings" w:char="00A8"/>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执行任务</w:t>
            </w:r>
            <w:r>
              <w:rPr>
                <w:rFonts w:hint="default" w:ascii="Times New Roman" w:hAnsi="Times New Roman" w:eastAsia="华文仿宋" w:cs="Times New Roman"/>
                <w:color w:val="000000"/>
                <w:sz w:val="21"/>
                <w:szCs w:val="21"/>
              </w:rPr>
              <w:sym w:font="Wingdings" w:char="00A8"/>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其</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他</w:t>
            </w:r>
            <w:r>
              <w:rPr>
                <w:rFonts w:hint="default" w:ascii="Times New Roman" w:hAnsi="Times New Roman" w:eastAsia="华文仿宋" w:cs="Times New Roman"/>
                <w:color w:val="000000"/>
                <w:sz w:val="21"/>
                <w:szCs w:val="21"/>
              </w:rPr>
              <w:sym w:font="Wingdings" w:char="00A8"/>
            </w:r>
          </w:p>
        </w:tc>
        <w:tc>
          <w:tcPr>
            <w:tcW w:w="1498" w:type="dxa"/>
            <w:vMerge w:val="restart"/>
            <w:noWrap w:val="0"/>
            <w:vAlign w:val="center"/>
          </w:tcPr>
          <w:p w14:paraId="336D8B8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来宾人数</w:t>
            </w:r>
          </w:p>
        </w:tc>
        <w:tc>
          <w:tcPr>
            <w:tcW w:w="1474" w:type="dxa"/>
            <w:vMerge w:val="restart"/>
            <w:noWrap w:val="0"/>
            <w:vAlign w:val="center"/>
          </w:tcPr>
          <w:p w14:paraId="425D645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p>
        </w:tc>
      </w:tr>
      <w:tr w14:paraId="2DD3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89" w:type="dxa"/>
            <w:vMerge w:val="continue"/>
            <w:noWrap w:val="0"/>
            <w:vAlign w:val="center"/>
          </w:tcPr>
          <w:p w14:paraId="14B2BA6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4183" w:type="dxa"/>
            <w:gridSpan w:val="3"/>
            <w:noWrap w:val="0"/>
            <w:vAlign w:val="center"/>
          </w:tcPr>
          <w:p w14:paraId="1EAE28E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具体事由：</w:t>
            </w:r>
          </w:p>
        </w:tc>
        <w:tc>
          <w:tcPr>
            <w:tcW w:w="1498" w:type="dxa"/>
            <w:vMerge w:val="continue"/>
            <w:noWrap w:val="0"/>
            <w:vAlign w:val="center"/>
          </w:tcPr>
          <w:p w14:paraId="2369949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474" w:type="dxa"/>
            <w:vMerge w:val="continue"/>
            <w:noWrap w:val="0"/>
            <w:vAlign w:val="center"/>
          </w:tcPr>
          <w:p w14:paraId="059D4FC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p>
        </w:tc>
      </w:tr>
      <w:tr w14:paraId="0491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89" w:type="dxa"/>
            <w:noWrap w:val="0"/>
            <w:vAlign w:val="center"/>
          </w:tcPr>
          <w:p w14:paraId="2FACA27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主要来宾</w:t>
            </w:r>
          </w:p>
          <w:p w14:paraId="4A0300E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姓</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color w:val="000000"/>
                <w:sz w:val="21"/>
                <w:szCs w:val="21"/>
                <w:lang w:eastAsia="zh-CN"/>
              </w:rPr>
              <w:t>　</w:t>
            </w:r>
            <w:r>
              <w:rPr>
                <w:rFonts w:hint="default" w:ascii="Times New Roman" w:hAnsi="Times New Roman" w:cs="Times New Roman" w:eastAsiaTheme="minorEastAsia"/>
                <w:color w:val="000000"/>
                <w:sz w:val="21"/>
                <w:szCs w:val="21"/>
              </w:rPr>
              <w:t>名</w:t>
            </w:r>
          </w:p>
        </w:tc>
        <w:tc>
          <w:tcPr>
            <w:tcW w:w="1258" w:type="dxa"/>
            <w:noWrap w:val="0"/>
            <w:vAlign w:val="center"/>
          </w:tcPr>
          <w:p w14:paraId="3169492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23" w:type="dxa"/>
            <w:noWrap w:val="0"/>
            <w:vAlign w:val="center"/>
          </w:tcPr>
          <w:p w14:paraId="0621AD2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职务及</w:t>
            </w:r>
          </w:p>
          <w:p w14:paraId="28FA5BA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级</w:t>
            </w:r>
            <w:r>
              <w:rPr>
                <w:rFonts w:hint="default" w:ascii="Times New Roman" w:hAnsi="Times New Roman" w:cs="Times New Roman"/>
                <w:color w:val="000000"/>
                <w:sz w:val="21"/>
                <w:szCs w:val="21"/>
                <w:lang w:eastAsia="zh-CN"/>
              </w:rPr>
              <w:t>　</w:t>
            </w:r>
            <w:r>
              <w:rPr>
                <w:rFonts w:hint="default" w:ascii="Times New Roman" w:hAnsi="Times New Roman" w:cs="Times New Roman" w:eastAsiaTheme="minorEastAsia"/>
                <w:color w:val="000000"/>
                <w:sz w:val="21"/>
                <w:szCs w:val="21"/>
              </w:rPr>
              <w:t>别</w:t>
            </w:r>
          </w:p>
        </w:tc>
        <w:tc>
          <w:tcPr>
            <w:tcW w:w="1702" w:type="dxa"/>
            <w:noWrap w:val="0"/>
            <w:vAlign w:val="center"/>
          </w:tcPr>
          <w:p w14:paraId="6464125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498" w:type="dxa"/>
            <w:noWrap w:val="0"/>
            <w:vAlign w:val="center"/>
          </w:tcPr>
          <w:p w14:paraId="5F969A3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拟接待</w:t>
            </w:r>
          </w:p>
          <w:p w14:paraId="6BDD890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日</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期</w:t>
            </w:r>
          </w:p>
        </w:tc>
        <w:tc>
          <w:tcPr>
            <w:tcW w:w="1474" w:type="dxa"/>
            <w:noWrap w:val="0"/>
            <w:vAlign w:val="center"/>
          </w:tcPr>
          <w:p w14:paraId="567E2D8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p>
        </w:tc>
      </w:tr>
      <w:tr w14:paraId="679D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89" w:type="dxa"/>
            <w:noWrap w:val="0"/>
            <w:vAlign w:val="center"/>
          </w:tcPr>
          <w:p w14:paraId="69FF56E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接待部门</w:t>
            </w:r>
          </w:p>
        </w:tc>
        <w:tc>
          <w:tcPr>
            <w:tcW w:w="1258" w:type="dxa"/>
            <w:noWrap w:val="0"/>
            <w:vAlign w:val="center"/>
          </w:tcPr>
          <w:p w14:paraId="4937D51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223" w:type="dxa"/>
            <w:noWrap w:val="0"/>
            <w:vAlign w:val="center"/>
          </w:tcPr>
          <w:p w14:paraId="69C72EE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接待标准</w:t>
            </w:r>
          </w:p>
        </w:tc>
        <w:tc>
          <w:tcPr>
            <w:tcW w:w="1702" w:type="dxa"/>
            <w:noWrap w:val="0"/>
            <w:vAlign w:val="center"/>
          </w:tcPr>
          <w:p w14:paraId="54BA35E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498" w:type="dxa"/>
            <w:noWrap w:val="0"/>
            <w:vAlign w:val="center"/>
          </w:tcPr>
          <w:p w14:paraId="3DAEACC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接待地点</w:t>
            </w:r>
          </w:p>
        </w:tc>
        <w:tc>
          <w:tcPr>
            <w:tcW w:w="1474" w:type="dxa"/>
            <w:noWrap w:val="0"/>
            <w:vAlign w:val="center"/>
          </w:tcPr>
          <w:p w14:paraId="5F26FF1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sz w:val="21"/>
                <w:szCs w:val="21"/>
              </w:rPr>
            </w:pPr>
          </w:p>
        </w:tc>
      </w:tr>
      <w:tr w14:paraId="11A2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689" w:type="dxa"/>
            <w:noWrap w:val="0"/>
            <w:vAlign w:val="center"/>
          </w:tcPr>
          <w:p w14:paraId="3799A76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承办部门</w:t>
            </w:r>
          </w:p>
          <w:p w14:paraId="3D0C919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负责人</w:t>
            </w:r>
          </w:p>
          <w:p w14:paraId="723E286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（签字）</w:t>
            </w:r>
          </w:p>
        </w:tc>
        <w:tc>
          <w:tcPr>
            <w:tcW w:w="2481" w:type="dxa"/>
            <w:gridSpan w:val="2"/>
            <w:noWrap w:val="0"/>
            <w:vAlign w:val="bottom"/>
          </w:tcPr>
          <w:p w14:paraId="56DB2B5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2" w:type="dxa"/>
            <w:noWrap w:val="0"/>
            <w:vAlign w:val="center"/>
          </w:tcPr>
          <w:p w14:paraId="7CF6971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综合部审核</w:t>
            </w:r>
          </w:p>
          <w:p w14:paraId="7104568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财务部审核</w:t>
            </w:r>
          </w:p>
          <w:p w14:paraId="0A44658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（签字）</w:t>
            </w:r>
          </w:p>
        </w:tc>
        <w:tc>
          <w:tcPr>
            <w:tcW w:w="2972" w:type="dxa"/>
            <w:gridSpan w:val="2"/>
            <w:noWrap w:val="0"/>
            <w:vAlign w:val="bottom"/>
          </w:tcPr>
          <w:p w14:paraId="4C86460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年</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月</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日</w:t>
            </w:r>
          </w:p>
        </w:tc>
      </w:tr>
      <w:tr w14:paraId="266F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1689" w:type="dxa"/>
            <w:noWrap w:val="0"/>
            <w:vAlign w:val="center"/>
          </w:tcPr>
          <w:p w14:paraId="1E1A087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分管</w:t>
            </w:r>
            <w:r>
              <w:rPr>
                <w:rFonts w:hint="eastAsia" w:ascii="Times New Roman" w:hAnsi="Times New Roman" w:cs="Times New Roman"/>
                <w:color w:val="000000"/>
                <w:sz w:val="21"/>
                <w:szCs w:val="21"/>
                <w:lang w:val="en-US" w:eastAsia="zh-CN"/>
              </w:rPr>
              <w:t>副</w:t>
            </w:r>
            <w:r>
              <w:rPr>
                <w:rFonts w:hint="default" w:ascii="Times New Roman" w:hAnsi="Times New Roman" w:cs="Times New Roman" w:eastAsiaTheme="minorEastAsia"/>
                <w:color w:val="000000"/>
                <w:sz w:val="21"/>
                <w:szCs w:val="21"/>
              </w:rPr>
              <w:t>秘书长</w:t>
            </w:r>
          </w:p>
          <w:p w14:paraId="20FE923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审核（签字）</w:t>
            </w:r>
          </w:p>
        </w:tc>
        <w:tc>
          <w:tcPr>
            <w:tcW w:w="2481" w:type="dxa"/>
            <w:gridSpan w:val="2"/>
            <w:noWrap w:val="0"/>
            <w:vAlign w:val="bottom"/>
          </w:tcPr>
          <w:p w14:paraId="150C011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702" w:type="dxa"/>
            <w:noWrap w:val="0"/>
            <w:vAlign w:val="center"/>
          </w:tcPr>
          <w:p w14:paraId="77AEBE2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秘书长签字</w:t>
            </w:r>
          </w:p>
        </w:tc>
        <w:tc>
          <w:tcPr>
            <w:tcW w:w="2972" w:type="dxa"/>
            <w:gridSpan w:val="2"/>
            <w:noWrap w:val="0"/>
            <w:vAlign w:val="bottom"/>
          </w:tcPr>
          <w:p w14:paraId="5277A45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年</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月</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日</w:t>
            </w:r>
          </w:p>
        </w:tc>
      </w:tr>
    </w:tbl>
    <w:p w14:paraId="4D014995">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left="907" w:leftChars="0" w:right="0" w:rightChars="0" w:hanging="907" w:hangingChars="378"/>
        <w:jc w:val="both"/>
        <w:textAlignment w:val="auto"/>
        <w:rPr>
          <w:rFonts w:hint="default" w:ascii="Times New Roman" w:hAnsi="Times New Roman" w:eastAsia="楷体_GB2312" w:cs="Times New Roman"/>
          <w:color w:val="000000"/>
          <w:sz w:val="24"/>
          <w:szCs w:val="24"/>
        </w:rPr>
      </w:pPr>
      <w:r>
        <w:rPr>
          <w:rFonts w:hint="default" w:ascii="Times New Roman" w:hAnsi="Times New Roman" w:eastAsia="楷体_GB2312" w:cs="Times New Roman"/>
          <w:color w:val="000000"/>
          <w:sz w:val="24"/>
          <w:szCs w:val="24"/>
        </w:rPr>
        <w:t>备注：1.公务接待需有公函且只能安排一餐。</w:t>
      </w:r>
    </w:p>
    <w:p w14:paraId="4A292B5E">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left="907" w:leftChars="0" w:right="0" w:rightChars="0" w:hanging="907" w:hangingChars="378"/>
        <w:jc w:val="both"/>
        <w:textAlignment w:val="auto"/>
        <w:rPr>
          <w:rFonts w:hint="default" w:ascii="Times New Roman" w:hAnsi="Times New Roman" w:eastAsia="楷体_GB2312" w:cs="Times New Roman"/>
          <w:color w:val="000000"/>
          <w:sz w:val="24"/>
          <w:szCs w:val="24"/>
        </w:rPr>
      </w:pPr>
      <w:r>
        <w:rPr>
          <w:rFonts w:hint="default" w:ascii="Times New Roman" w:hAnsi="Times New Roman" w:eastAsia="楷体_GB2312" w:cs="Times New Roman"/>
          <w:color w:val="000000"/>
          <w:sz w:val="24"/>
          <w:szCs w:val="24"/>
          <w:lang w:eastAsia="zh-CN"/>
        </w:rPr>
        <w:t>　　　</w:t>
      </w:r>
      <w:r>
        <w:rPr>
          <w:rFonts w:hint="default" w:ascii="Times New Roman" w:hAnsi="Times New Roman" w:eastAsia="楷体_GB2312" w:cs="Times New Roman"/>
          <w:color w:val="000000"/>
          <w:sz w:val="24"/>
          <w:szCs w:val="24"/>
        </w:rPr>
        <w:t>2.接待对象在10人以内的，陪餐人数不得超过3人；超过10人的，陪餐人数不得超过接待对象人数的三分之一。</w:t>
      </w:r>
    </w:p>
    <w:p w14:paraId="66D29366">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left="907" w:leftChars="0" w:right="0" w:rightChars="0" w:hanging="907" w:hangingChars="378"/>
        <w:jc w:val="both"/>
        <w:textAlignment w:val="auto"/>
        <w:rPr>
          <w:rFonts w:hint="default" w:ascii="Times New Roman" w:hAnsi="Times New Roman" w:eastAsia="楷体_GB2312" w:cs="Times New Roman"/>
          <w:color w:val="000000"/>
          <w:sz w:val="24"/>
          <w:szCs w:val="24"/>
        </w:rPr>
      </w:pPr>
      <w:r>
        <w:rPr>
          <w:rFonts w:hint="default" w:ascii="Times New Roman" w:hAnsi="Times New Roman" w:eastAsia="楷体_GB2312" w:cs="Times New Roman"/>
          <w:color w:val="000000"/>
          <w:sz w:val="24"/>
          <w:szCs w:val="24"/>
          <w:lang w:eastAsia="zh-CN"/>
        </w:rPr>
        <w:t>　　　</w:t>
      </w:r>
      <w:r>
        <w:rPr>
          <w:rFonts w:hint="default" w:ascii="Times New Roman" w:hAnsi="Times New Roman" w:eastAsia="楷体_GB2312" w:cs="Times New Roman"/>
          <w:color w:val="000000"/>
          <w:sz w:val="24"/>
          <w:szCs w:val="24"/>
        </w:rPr>
        <w:t>3.本清单一式两份，一份作为报账必要附件入账</w:t>
      </w:r>
      <w:r>
        <w:rPr>
          <w:rFonts w:hint="eastAsia" w:ascii="Times New Roman" w:hAnsi="Times New Roman" w:eastAsia="楷体_GB2312" w:cs="Times New Roman"/>
          <w:color w:val="000000"/>
          <w:sz w:val="24"/>
          <w:szCs w:val="24"/>
          <w:lang w:val="en-US" w:eastAsia="zh-CN"/>
        </w:rPr>
        <w:t>备查</w:t>
      </w:r>
      <w:r>
        <w:rPr>
          <w:rFonts w:hint="default" w:ascii="Times New Roman" w:hAnsi="Times New Roman" w:eastAsia="楷体_GB2312" w:cs="Times New Roman"/>
          <w:color w:val="000000"/>
          <w:sz w:val="24"/>
          <w:szCs w:val="24"/>
        </w:rPr>
        <w:t>，一份交综合部备案。</w:t>
      </w:r>
    </w:p>
    <w:p w14:paraId="27DE816A">
      <w:pPr>
        <w:rPr>
          <w:rFonts w:hint="default" w:ascii="Times New Roman" w:hAnsi="Times New Roman" w:eastAsia="仿宋_GB2312" w:cs="Times New Roman"/>
          <w:color w:val="000000"/>
          <w:kern w:val="0"/>
          <w:sz w:val="30"/>
          <w:szCs w:val="30"/>
        </w:rPr>
      </w:pPr>
      <w:r>
        <w:rPr>
          <w:rFonts w:hint="default" w:ascii="Times New Roman" w:hAnsi="Times New Roman" w:eastAsia="仿宋_GB2312" w:cs="Times New Roman"/>
          <w:color w:val="000000"/>
          <w:kern w:val="0"/>
          <w:sz w:val="30"/>
          <w:szCs w:val="30"/>
        </w:rPr>
        <w:br w:type="page"/>
      </w:r>
    </w:p>
    <w:p w14:paraId="7A3F570F">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5</w:t>
      </w:r>
    </w:p>
    <w:p w14:paraId="7738FC43">
      <w:pPr>
        <w:pStyle w:val="9"/>
        <w:keepNext w:val="0"/>
        <w:keepLines w:val="0"/>
        <w:pageBreakBefore w:val="0"/>
        <w:widowControl w:val="0"/>
        <w:shd w:val="clear"/>
        <w:kinsoku/>
        <w:wordWrap/>
        <w:overflowPunct w:val="0"/>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长沙市慈善总会公务接待用餐清单</w:t>
      </w:r>
    </w:p>
    <w:tbl>
      <w:tblPr>
        <w:tblStyle w:val="1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1667"/>
        <w:gridCol w:w="705"/>
        <w:gridCol w:w="667"/>
        <w:gridCol w:w="1143"/>
        <w:gridCol w:w="1498"/>
        <w:gridCol w:w="101"/>
        <w:gridCol w:w="1374"/>
      </w:tblGrid>
      <w:tr w14:paraId="198C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gridSpan w:val="8"/>
            <w:noWrap w:val="0"/>
            <w:vAlign w:val="center"/>
          </w:tcPr>
          <w:p w14:paraId="73BFE34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接待计划</w:t>
            </w:r>
          </w:p>
        </w:tc>
      </w:tr>
      <w:tr w14:paraId="45BA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89" w:type="dxa"/>
            <w:noWrap w:val="0"/>
            <w:vAlign w:val="center"/>
          </w:tcPr>
          <w:p w14:paraId="753C77D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来宾单位</w:t>
            </w:r>
          </w:p>
        </w:tc>
        <w:tc>
          <w:tcPr>
            <w:tcW w:w="4182" w:type="dxa"/>
            <w:gridSpan w:val="4"/>
            <w:noWrap w:val="0"/>
            <w:vAlign w:val="center"/>
          </w:tcPr>
          <w:p w14:paraId="36B95DB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498" w:type="dxa"/>
            <w:noWrap w:val="0"/>
            <w:vAlign w:val="center"/>
          </w:tcPr>
          <w:p w14:paraId="2A9D032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公函日期</w:t>
            </w:r>
          </w:p>
        </w:tc>
        <w:tc>
          <w:tcPr>
            <w:tcW w:w="1475" w:type="dxa"/>
            <w:gridSpan w:val="2"/>
            <w:noWrap w:val="0"/>
            <w:vAlign w:val="center"/>
          </w:tcPr>
          <w:p w14:paraId="18C7E15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1FED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4" w:type="dxa"/>
            <w:gridSpan w:val="8"/>
            <w:noWrap w:val="0"/>
            <w:vAlign w:val="center"/>
          </w:tcPr>
          <w:p w14:paraId="34E6069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接待情况</w:t>
            </w:r>
          </w:p>
        </w:tc>
      </w:tr>
      <w:tr w14:paraId="306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689" w:type="dxa"/>
            <w:noWrap w:val="0"/>
            <w:vAlign w:val="center"/>
          </w:tcPr>
          <w:p w14:paraId="6AD0C86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主要陪餐</w:t>
            </w:r>
          </w:p>
          <w:p w14:paraId="2810762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人</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color w:val="000000"/>
                <w:sz w:val="21"/>
                <w:szCs w:val="21"/>
                <w:lang w:eastAsia="zh-CN"/>
              </w:rPr>
              <w:t>　</w:t>
            </w:r>
            <w:r>
              <w:rPr>
                <w:rFonts w:hint="default" w:ascii="Times New Roman" w:hAnsi="Times New Roman" w:cs="Times New Roman" w:eastAsiaTheme="minorEastAsia"/>
                <w:color w:val="000000"/>
                <w:sz w:val="21"/>
                <w:szCs w:val="21"/>
              </w:rPr>
              <w:t>员</w:t>
            </w:r>
          </w:p>
          <w:p w14:paraId="1AA67F3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pacing w:val="-6"/>
                <w:w w:val="80"/>
                <w:sz w:val="21"/>
                <w:szCs w:val="21"/>
              </w:rPr>
              <w:t>（由分管领导确定）</w:t>
            </w:r>
          </w:p>
        </w:tc>
        <w:tc>
          <w:tcPr>
            <w:tcW w:w="1667" w:type="dxa"/>
            <w:noWrap w:val="0"/>
            <w:vAlign w:val="center"/>
          </w:tcPr>
          <w:p w14:paraId="411A087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72" w:type="dxa"/>
            <w:gridSpan w:val="2"/>
            <w:noWrap w:val="0"/>
            <w:vAlign w:val="center"/>
          </w:tcPr>
          <w:p w14:paraId="721F63D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工作人员</w:t>
            </w:r>
          </w:p>
        </w:tc>
        <w:tc>
          <w:tcPr>
            <w:tcW w:w="1143" w:type="dxa"/>
            <w:noWrap w:val="0"/>
            <w:vAlign w:val="center"/>
          </w:tcPr>
          <w:p w14:paraId="6579915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599" w:type="dxa"/>
            <w:gridSpan w:val="2"/>
            <w:noWrap w:val="0"/>
            <w:vAlign w:val="center"/>
          </w:tcPr>
          <w:p w14:paraId="3FC28BA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接待日期</w:t>
            </w:r>
          </w:p>
        </w:tc>
        <w:tc>
          <w:tcPr>
            <w:tcW w:w="1374" w:type="dxa"/>
            <w:noWrap w:val="0"/>
            <w:vAlign w:val="center"/>
          </w:tcPr>
          <w:p w14:paraId="1788E7C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6D49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689" w:type="dxa"/>
            <w:noWrap w:val="0"/>
            <w:vAlign w:val="center"/>
          </w:tcPr>
          <w:p w14:paraId="2F2B4D4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用餐类别</w:t>
            </w:r>
          </w:p>
        </w:tc>
        <w:tc>
          <w:tcPr>
            <w:tcW w:w="2372" w:type="dxa"/>
            <w:gridSpan w:val="2"/>
            <w:noWrap w:val="0"/>
            <w:vAlign w:val="center"/>
          </w:tcPr>
          <w:p w14:paraId="64FBAAD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餐费</w:t>
            </w:r>
          </w:p>
        </w:tc>
        <w:tc>
          <w:tcPr>
            <w:tcW w:w="1810" w:type="dxa"/>
            <w:gridSpan w:val="2"/>
            <w:noWrap w:val="0"/>
            <w:vAlign w:val="center"/>
          </w:tcPr>
          <w:p w14:paraId="6DBDFAE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其他</w:t>
            </w:r>
          </w:p>
        </w:tc>
        <w:tc>
          <w:tcPr>
            <w:tcW w:w="1599" w:type="dxa"/>
            <w:gridSpan w:val="2"/>
            <w:noWrap w:val="0"/>
            <w:vAlign w:val="center"/>
          </w:tcPr>
          <w:p w14:paraId="1070F15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用餐标准</w:t>
            </w:r>
          </w:p>
        </w:tc>
        <w:tc>
          <w:tcPr>
            <w:tcW w:w="1374" w:type="dxa"/>
            <w:noWrap w:val="0"/>
            <w:vAlign w:val="center"/>
          </w:tcPr>
          <w:p w14:paraId="76CBB73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就餐桌数</w:t>
            </w:r>
          </w:p>
        </w:tc>
      </w:tr>
      <w:tr w14:paraId="132A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689" w:type="dxa"/>
            <w:noWrap w:val="0"/>
            <w:vAlign w:val="center"/>
          </w:tcPr>
          <w:p w14:paraId="063CD36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早餐</w:t>
            </w:r>
            <w:r>
              <w:rPr>
                <w:rFonts w:hint="default" w:ascii="Times New Roman" w:hAnsi="Times New Roman" w:cs="Times New Roman" w:eastAsiaTheme="minorEastAsia"/>
                <w:color w:val="000000"/>
                <w:sz w:val="21"/>
                <w:szCs w:val="21"/>
              </w:rPr>
              <w:sym w:font="Wingdings" w:char="00A8"/>
            </w:r>
          </w:p>
          <w:p w14:paraId="3CF2CA9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中餐</w:t>
            </w:r>
            <w:r>
              <w:rPr>
                <w:rFonts w:hint="default" w:ascii="Times New Roman" w:hAnsi="Times New Roman" w:cs="Times New Roman" w:eastAsiaTheme="minorEastAsia"/>
                <w:color w:val="000000"/>
                <w:sz w:val="21"/>
                <w:szCs w:val="21"/>
              </w:rPr>
              <w:sym w:font="Wingdings" w:char="00A8"/>
            </w:r>
          </w:p>
          <w:p w14:paraId="52571B1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rPr>
              <w:t>晚餐</w:t>
            </w:r>
            <w:r>
              <w:rPr>
                <w:rFonts w:hint="default" w:ascii="Times New Roman" w:hAnsi="Times New Roman" w:cs="Times New Roman" w:eastAsiaTheme="minorEastAsia"/>
                <w:color w:val="000000"/>
                <w:sz w:val="21"/>
                <w:szCs w:val="21"/>
              </w:rPr>
              <w:sym w:font="Wingdings" w:char="00A8"/>
            </w:r>
          </w:p>
        </w:tc>
        <w:tc>
          <w:tcPr>
            <w:tcW w:w="2372" w:type="dxa"/>
            <w:gridSpan w:val="2"/>
            <w:noWrap w:val="0"/>
            <w:vAlign w:val="center"/>
          </w:tcPr>
          <w:p w14:paraId="19F29F1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810" w:type="dxa"/>
            <w:gridSpan w:val="2"/>
            <w:noWrap w:val="0"/>
            <w:vAlign w:val="center"/>
          </w:tcPr>
          <w:p w14:paraId="02ED41E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599" w:type="dxa"/>
            <w:gridSpan w:val="2"/>
            <w:noWrap w:val="0"/>
            <w:vAlign w:val="center"/>
          </w:tcPr>
          <w:p w14:paraId="4AC801F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74" w:type="dxa"/>
            <w:noWrap w:val="0"/>
            <w:vAlign w:val="center"/>
          </w:tcPr>
          <w:p w14:paraId="68E5AD2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1E84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89" w:type="dxa"/>
            <w:noWrap w:val="0"/>
            <w:vAlign w:val="center"/>
          </w:tcPr>
          <w:p w14:paraId="5B1C6DC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合计金额</w:t>
            </w:r>
          </w:p>
        </w:tc>
        <w:tc>
          <w:tcPr>
            <w:tcW w:w="5781" w:type="dxa"/>
            <w:gridSpan w:val="6"/>
            <w:noWrap w:val="0"/>
            <w:vAlign w:val="center"/>
          </w:tcPr>
          <w:p w14:paraId="20B5D4E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人民币：（大写）</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仟</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佰</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拾</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元</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角整</w:t>
            </w:r>
          </w:p>
        </w:tc>
        <w:tc>
          <w:tcPr>
            <w:tcW w:w="1374" w:type="dxa"/>
            <w:noWrap w:val="0"/>
            <w:vAlign w:val="center"/>
          </w:tcPr>
          <w:p w14:paraId="08EDC31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元</w:t>
            </w:r>
          </w:p>
        </w:tc>
      </w:tr>
      <w:tr w14:paraId="2779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1689" w:type="dxa"/>
            <w:noWrap w:val="0"/>
            <w:vAlign w:val="center"/>
          </w:tcPr>
          <w:p w14:paraId="249FE14F">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承办部门</w:t>
            </w:r>
          </w:p>
          <w:p w14:paraId="36C2124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负责人</w:t>
            </w:r>
          </w:p>
          <w:p w14:paraId="7D59595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（签字）</w:t>
            </w:r>
          </w:p>
        </w:tc>
        <w:tc>
          <w:tcPr>
            <w:tcW w:w="2372" w:type="dxa"/>
            <w:gridSpan w:val="2"/>
            <w:noWrap w:val="0"/>
            <w:vAlign w:val="bottom"/>
          </w:tcPr>
          <w:p w14:paraId="52B8BE5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810" w:type="dxa"/>
            <w:gridSpan w:val="2"/>
            <w:noWrap w:val="0"/>
            <w:vAlign w:val="center"/>
          </w:tcPr>
          <w:p w14:paraId="7FDF699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综合部审核</w:t>
            </w:r>
          </w:p>
          <w:p w14:paraId="7714593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财务部审核</w:t>
            </w:r>
          </w:p>
          <w:p w14:paraId="3C1544C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（签字）</w:t>
            </w:r>
          </w:p>
        </w:tc>
        <w:tc>
          <w:tcPr>
            <w:tcW w:w="2973" w:type="dxa"/>
            <w:gridSpan w:val="3"/>
            <w:noWrap w:val="0"/>
            <w:vAlign w:val="bottom"/>
          </w:tcPr>
          <w:p w14:paraId="1807A06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年</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月</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日</w:t>
            </w:r>
          </w:p>
        </w:tc>
      </w:tr>
      <w:tr w14:paraId="152B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1689" w:type="dxa"/>
            <w:noWrap w:val="0"/>
            <w:vAlign w:val="center"/>
          </w:tcPr>
          <w:p w14:paraId="399B44B2">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分管副秘书长</w:t>
            </w:r>
          </w:p>
          <w:p w14:paraId="5F083D2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审核（签字）</w:t>
            </w:r>
          </w:p>
        </w:tc>
        <w:tc>
          <w:tcPr>
            <w:tcW w:w="2372" w:type="dxa"/>
            <w:gridSpan w:val="2"/>
            <w:noWrap w:val="0"/>
            <w:vAlign w:val="center"/>
          </w:tcPr>
          <w:p w14:paraId="4332E6A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810" w:type="dxa"/>
            <w:gridSpan w:val="2"/>
            <w:noWrap w:val="0"/>
            <w:vAlign w:val="center"/>
          </w:tcPr>
          <w:p w14:paraId="6F89F78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秘书长（签字）</w:t>
            </w:r>
          </w:p>
        </w:tc>
        <w:tc>
          <w:tcPr>
            <w:tcW w:w="2973" w:type="dxa"/>
            <w:gridSpan w:val="3"/>
            <w:noWrap w:val="0"/>
            <w:vAlign w:val="bottom"/>
          </w:tcPr>
          <w:p w14:paraId="6E6A928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right"/>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年</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月</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日</w:t>
            </w:r>
          </w:p>
        </w:tc>
      </w:tr>
    </w:tbl>
    <w:p w14:paraId="7D322E60">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left="907" w:leftChars="0" w:right="0" w:rightChars="0" w:hanging="907" w:hangingChars="378"/>
        <w:jc w:val="both"/>
        <w:textAlignment w:val="auto"/>
        <w:rPr>
          <w:rFonts w:hint="default" w:ascii="Times New Roman" w:hAnsi="Times New Roman" w:eastAsia="楷体_GB2312" w:cs="Times New Roman"/>
          <w:color w:val="000000"/>
          <w:sz w:val="24"/>
          <w:szCs w:val="24"/>
        </w:rPr>
      </w:pPr>
      <w:r>
        <w:rPr>
          <w:rFonts w:hint="default" w:ascii="Times New Roman" w:hAnsi="Times New Roman" w:eastAsia="楷体_GB2312" w:cs="Times New Roman"/>
          <w:color w:val="000000"/>
          <w:sz w:val="24"/>
          <w:szCs w:val="24"/>
        </w:rPr>
        <w:t>备注：1.公务接待需有公函且只能安排一餐。</w:t>
      </w:r>
    </w:p>
    <w:p w14:paraId="1046D3BD">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left="907" w:leftChars="0" w:right="0" w:rightChars="0" w:hanging="907" w:hangingChars="378"/>
        <w:jc w:val="both"/>
        <w:textAlignment w:val="auto"/>
        <w:rPr>
          <w:rFonts w:hint="default" w:ascii="Times New Roman" w:hAnsi="Times New Roman" w:eastAsia="楷体_GB2312" w:cs="Times New Roman"/>
          <w:color w:val="000000"/>
          <w:sz w:val="24"/>
          <w:szCs w:val="24"/>
        </w:rPr>
      </w:pPr>
      <w:r>
        <w:rPr>
          <w:rFonts w:hint="default" w:ascii="Times New Roman" w:hAnsi="Times New Roman" w:eastAsia="楷体_GB2312" w:cs="Times New Roman"/>
          <w:color w:val="000000"/>
          <w:sz w:val="24"/>
          <w:szCs w:val="24"/>
          <w:lang w:eastAsia="zh-CN"/>
        </w:rPr>
        <w:t>　　　</w:t>
      </w:r>
      <w:r>
        <w:rPr>
          <w:rFonts w:hint="default" w:ascii="Times New Roman" w:hAnsi="Times New Roman" w:eastAsia="楷体_GB2312" w:cs="Times New Roman"/>
          <w:color w:val="000000"/>
          <w:sz w:val="24"/>
          <w:szCs w:val="24"/>
        </w:rPr>
        <w:t>2.接待对象在10人以内的，陪餐人数不得超过3人；超过10人的，陪餐人数不得超过接待对象人数的三分之一。</w:t>
      </w:r>
    </w:p>
    <w:p w14:paraId="3AB8C1D1">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left="907" w:leftChars="0" w:right="0" w:rightChars="0" w:hanging="907" w:hangingChars="378"/>
        <w:jc w:val="both"/>
        <w:textAlignment w:val="auto"/>
        <w:rPr>
          <w:rFonts w:hint="default" w:ascii="Times New Roman" w:hAnsi="Times New Roman" w:eastAsia="楷体_GB2312" w:cs="Times New Roman"/>
          <w:color w:val="000000"/>
          <w:sz w:val="24"/>
          <w:szCs w:val="24"/>
        </w:rPr>
      </w:pPr>
      <w:r>
        <w:rPr>
          <w:rFonts w:hint="default" w:ascii="Times New Roman" w:hAnsi="Times New Roman" w:eastAsia="楷体_GB2312" w:cs="Times New Roman"/>
          <w:color w:val="000000"/>
          <w:sz w:val="24"/>
          <w:szCs w:val="24"/>
          <w:lang w:eastAsia="zh-CN"/>
        </w:rPr>
        <w:t>　　　</w:t>
      </w:r>
      <w:r>
        <w:rPr>
          <w:rFonts w:hint="default" w:ascii="Times New Roman" w:hAnsi="Times New Roman" w:eastAsia="楷体_GB2312" w:cs="Times New Roman"/>
          <w:color w:val="000000"/>
          <w:sz w:val="24"/>
          <w:szCs w:val="24"/>
        </w:rPr>
        <w:t>3.本清单一式两份，一份作为报账必要附件入账</w:t>
      </w:r>
      <w:r>
        <w:rPr>
          <w:rFonts w:hint="eastAsia" w:ascii="Times New Roman" w:hAnsi="Times New Roman" w:eastAsia="楷体_GB2312" w:cs="Times New Roman"/>
          <w:color w:val="000000"/>
          <w:sz w:val="24"/>
          <w:szCs w:val="24"/>
          <w:lang w:val="en-US" w:eastAsia="zh-CN"/>
        </w:rPr>
        <w:t>备查</w:t>
      </w:r>
      <w:r>
        <w:rPr>
          <w:rFonts w:hint="default" w:ascii="Times New Roman" w:hAnsi="Times New Roman" w:eastAsia="楷体_GB2312" w:cs="Times New Roman"/>
          <w:color w:val="000000"/>
          <w:sz w:val="24"/>
          <w:szCs w:val="24"/>
        </w:rPr>
        <w:t>，一份交综合部备案。</w:t>
      </w:r>
    </w:p>
    <w:p w14:paraId="698EAECA">
      <w:pPr>
        <w:rPr>
          <w:rFonts w:hint="default" w:ascii="Times New Roman" w:hAnsi="Times New Roman" w:eastAsia="仿宋_GB2312" w:cs="Times New Roman"/>
          <w:color w:val="000000"/>
          <w:kern w:val="0"/>
          <w:sz w:val="30"/>
          <w:szCs w:val="30"/>
        </w:rPr>
      </w:pPr>
      <w:r>
        <w:rPr>
          <w:rFonts w:hint="default" w:ascii="Times New Roman" w:hAnsi="Times New Roman" w:eastAsia="仿宋_GB2312" w:cs="Times New Roman"/>
          <w:color w:val="000000"/>
          <w:kern w:val="0"/>
          <w:sz w:val="30"/>
          <w:szCs w:val="30"/>
        </w:rPr>
        <w:br w:type="page"/>
      </w:r>
    </w:p>
    <w:p w14:paraId="1F510D27">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6</w:t>
      </w:r>
    </w:p>
    <w:p w14:paraId="76C0F403">
      <w:pPr>
        <w:pStyle w:val="9"/>
        <w:keepNext w:val="0"/>
        <w:keepLines w:val="0"/>
        <w:pageBreakBefore w:val="0"/>
        <w:widowControl w:val="0"/>
        <w:shd w:val="clear"/>
        <w:kinsoku/>
        <w:wordWrap/>
        <w:overflowPunct w:val="0"/>
        <w:topLinePunct w:val="0"/>
        <w:autoSpaceDE/>
        <w:autoSpaceDN/>
        <w:bidi w:val="0"/>
        <w:adjustRightInd/>
        <w:snapToGrid/>
        <w:spacing w:before="169" w:beforeLines="50" w:beforeAutospacing="0" w:after="169" w:afterLines="50" w:afterAutospacing="0" w:line="600" w:lineRule="exact"/>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长沙市慈善总会公务活动（加班）用餐申请表</w:t>
      </w:r>
    </w:p>
    <w:p w14:paraId="5999261F">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right="0" w:rightChars="0"/>
        <w:jc w:val="center"/>
        <w:textAlignment w:val="auto"/>
        <w:rPr>
          <w:rFonts w:hint="default" w:ascii="Times New Roman" w:hAnsi="Times New Roman" w:eastAsia="楷体_GB2312" w:cs="Times New Roman"/>
          <w:b/>
          <w:bCs/>
          <w:color w:val="000000"/>
          <w:sz w:val="28"/>
          <w:szCs w:val="28"/>
        </w:rPr>
      </w:pPr>
      <w:r>
        <w:rPr>
          <w:rFonts w:hint="default" w:ascii="Times New Roman" w:hAnsi="Times New Roman" w:eastAsia="楷体_GB2312" w:cs="Times New Roman"/>
          <w:b/>
          <w:bCs/>
          <w:color w:val="000000"/>
          <w:sz w:val="28"/>
          <w:szCs w:val="28"/>
        </w:rPr>
        <w:t>填报部门：</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填报日期：</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年</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月</w:t>
      </w:r>
      <w:r>
        <w:rPr>
          <w:rFonts w:hint="default" w:ascii="Times New Roman" w:hAnsi="Times New Roman" w:eastAsia="楷体_GB2312" w:cs="Times New Roman"/>
          <w:b/>
          <w:bCs/>
          <w:color w:val="000000"/>
          <w:sz w:val="28"/>
          <w:szCs w:val="28"/>
          <w:lang w:eastAsia="zh-CN"/>
        </w:rPr>
        <w:t>　　</w:t>
      </w:r>
      <w:r>
        <w:rPr>
          <w:rFonts w:hint="default" w:ascii="Times New Roman" w:hAnsi="Times New Roman" w:eastAsia="楷体_GB2312" w:cs="Times New Roman"/>
          <w:b/>
          <w:bCs/>
          <w:color w:val="000000"/>
          <w:sz w:val="28"/>
          <w:szCs w:val="28"/>
        </w:rPr>
        <w:t>日</w:t>
      </w:r>
    </w:p>
    <w:tbl>
      <w:tblPr>
        <w:tblStyle w:val="11"/>
        <w:tblW w:w="8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2709"/>
        <w:gridCol w:w="1386"/>
        <w:gridCol w:w="3039"/>
      </w:tblGrid>
      <w:tr w14:paraId="072C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28" w:type="dxa"/>
            <w:noWrap w:val="0"/>
            <w:vAlign w:val="center"/>
          </w:tcPr>
          <w:p w14:paraId="78D4ADE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公务活动事项</w:t>
            </w:r>
          </w:p>
        </w:tc>
        <w:tc>
          <w:tcPr>
            <w:tcW w:w="7218" w:type="dxa"/>
            <w:gridSpan w:val="3"/>
            <w:noWrap w:val="0"/>
            <w:vAlign w:val="center"/>
          </w:tcPr>
          <w:p w14:paraId="27F0620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2C07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28" w:type="dxa"/>
            <w:noWrap w:val="0"/>
            <w:vAlign w:val="center"/>
          </w:tcPr>
          <w:p w14:paraId="3C6FED6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用餐原因</w:t>
            </w:r>
          </w:p>
        </w:tc>
        <w:tc>
          <w:tcPr>
            <w:tcW w:w="7218" w:type="dxa"/>
            <w:gridSpan w:val="3"/>
            <w:noWrap w:val="0"/>
            <w:vAlign w:val="center"/>
          </w:tcPr>
          <w:p w14:paraId="343FE7AD">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676C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28" w:type="dxa"/>
            <w:noWrap w:val="0"/>
            <w:vAlign w:val="center"/>
          </w:tcPr>
          <w:p w14:paraId="4F6130D3">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本单位参加</w:t>
            </w:r>
          </w:p>
          <w:p w14:paraId="77034F9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人员名单</w:t>
            </w:r>
          </w:p>
        </w:tc>
        <w:tc>
          <w:tcPr>
            <w:tcW w:w="7218" w:type="dxa"/>
            <w:gridSpan w:val="3"/>
            <w:noWrap w:val="0"/>
            <w:vAlign w:val="center"/>
          </w:tcPr>
          <w:p w14:paraId="462789A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620D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28" w:type="dxa"/>
            <w:noWrap w:val="0"/>
            <w:vAlign w:val="center"/>
          </w:tcPr>
          <w:p w14:paraId="4DF49B55">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外单位参加</w:t>
            </w:r>
          </w:p>
          <w:p w14:paraId="3C97B8E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人员名单</w:t>
            </w:r>
          </w:p>
        </w:tc>
        <w:tc>
          <w:tcPr>
            <w:tcW w:w="7218" w:type="dxa"/>
            <w:gridSpan w:val="3"/>
            <w:noWrap w:val="0"/>
            <w:vAlign w:val="center"/>
          </w:tcPr>
          <w:p w14:paraId="7C7E9FB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5C67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28" w:type="dxa"/>
            <w:noWrap w:val="0"/>
            <w:vAlign w:val="center"/>
          </w:tcPr>
          <w:p w14:paraId="2FFF325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时</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间</w:t>
            </w:r>
          </w:p>
        </w:tc>
        <w:tc>
          <w:tcPr>
            <w:tcW w:w="2744" w:type="dxa"/>
            <w:noWrap w:val="0"/>
            <w:vAlign w:val="center"/>
          </w:tcPr>
          <w:p w14:paraId="757299B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96" w:type="dxa"/>
            <w:noWrap w:val="0"/>
            <w:vAlign w:val="center"/>
          </w:tcPr>
          <w:p w14:paraId="20BA2F3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地</w:t>
            </w:r>
            <w:r>
              <w:rPr>
                <w:rFonts w:hint="default" w:ascii="Times New Roman" w:hAnsi="Times New Roman" w:cs="Times New Roman" w:eastAsiaTheme="minorEastAsia"/>
                <w:color w:val="000000"/>
                <w:sz w:val="21"/>
                <w:szCs w:val="21"/>
                <w:lang w:eastAsia="zh-CN"/>
              </w:rPr>
              <w:t>　　</w:t>
            </w:r>
            <w:r>
              <w:rPr>
                <w:rFonts w:hint="default" w:ascii="Times New Roman" w:hAnsi="Times New Roman" w:cs="Times New Roman" w:eastAsiaTheme="minorEastAsia"/>
                <w:color w:val="000000"/>
                <w:sz w:val="21"/>
                <w:szCs w:val="21"/>
              </w:rPr>
              <w:t>点</w:t>
            </w:r>
          </w:p>
        </w:tc>
        <w:tc>
          <w:tcPr>
            <w:tcW w:w="3078" w:type="dxa"/>
            <w:noWrap w:val="0"/>
            <w:vAlign w:val="center"/>
          </w:tcPr>
          <w:p w14:paraId="4E809B3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516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728" w:type="dxa"/>
            <w:noWrap w:val="0"/>
            <w:vAlign w:val="center"/>
          </w:tcPr>
          <w:p w14:paraId="64E9965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用餐人数</w:t>
            </w:r>
          </w:p>
        </w:tc>
        <w:tc>
          <w:tcPr>
            <w:tcW w:w="2744" w:type="dxa"/>
            <w:noWrap w:val="0"/>
            <w:vAlign w:val="center"/>
          </w:tcPr>
          <w:p w14:paraId="3286997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396" w:type="dxa"/>
            <w:noWrap w:val="0"/>
            <w:vAlign w:val="center"/>
          </w:tcPr>
          <w:p w14:paraId="4A54C35A">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用餐标准</w:t>
            </w:r>
          </w:p>
          <w:p w14:paraId="2E73F8BE">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（元/人）</w:t>
            </w:r>
          </w:p>
        </w:tc>
        <w:tc>
          <w:tcPr>
            <w:tcW w:w="3078" w:type="dxa"/>
            <w:noWrap w:val="0"/>
            <w:vAlign w:val="center"/>
          </w:tcPr>
          <w:p w14:paraId="4D1221B9">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bl>
    <w:p w14:paraId="29E4BD85">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楷体_GB2312" w:cs="Times New Roman"/>
          <w:color w:val="000000"/>
          <w:sz w:val="24"/>
          <w:szCs w:val="24"/>
          <w:lang w:eastAsia="zh-CN"/>
        </w:rPr>
      </w:pPr>
      <w:r>
        <w:rPr>
          <w:rFonts w:hint="default" w:ascii="Times New Roman" w:hAnsi="Times New Roman" w:eastAsia="楷体_GB2312" w:cs="Times New Roman"/>
          <w:color w:val="000000"/>
          <w:sz w:val="24"/>
          <w:szCs w:val="24"/>
        </w:rPr>
        <w:t>填报人：</w:t>
      </w:r>
      <w:r>
        <w:rPr>
          <w:rFonts w:hint="default" w:ascii="Times New Roman" w:hAnsi="Times New Roman" w:eastAsia="楷体_GB2312" w:cs="Times New Roman"/>
          <w:color w:val="000000"/>
          <w:sz w:val="24"/>
          <w:szCs w:val="24"/>
          <w:lang w:eastAsia="zh-CN"/>
        </w:rPr>
        <w:t>　　　　　　</w:t>
      </w:r>
      <w:r>
        <w:rPr>
          <w:rFonts w:hint="default" w:ascii="Times New Roman" w:hAnsi="Times New Roman" w:eastAsia="楷体_GB2312" w:cs="Times New Roman"/>
          <w:color w:val="000000"/>
          <w:sz w:val="24"/>
          <w:szCs w:val="24"/>
        </w:rPr>
        <w:t>部门负责人：</w:t>
      </w:r>
      <w:r>
        <w:rPr>
          <w:rFonts w:hint="default" w:ascii="Times New Roman" w:hAnsi="Times New Roman" w:eastAsia="楷体_GB2312" w:cs="Times New Roman"/>
          <w:color w:val="000000"/>
          <w:sz w:val="24"/>
          <w:szCs w:val="24"/>
          <w:lang w:eastAsia="zh-CN"/>
        </w:rPr>
        <w:t>　　　　</w:t>
      </w:r>
      <w:r>
        <w:rPr>
          <w:rFonts w:hint="default" w:ascii="Times New Roman" w:hAnsi="Times New Roman" w:eastAsia="楷体_GB2312" w:cs="Times New Roman"/>
          <w:color w:val="000000"/>
          <w:sz w:val="24"/>
          <w:szCs w:val="24"/>
        </w:rPr>
        <w:t>分管副秘书长：</w:t>
      </w:r>
      <w:r>
        <w:rPr>
          <w:rFonts w:hint="default" w:ascii="Times New Roman" w:hAnsi="Times New Roman" w:eastAsia="楷体_GB2312" w:cs="Times New Roman"/>
          <w:color w:val="000000"/>
          <w:sz w:val="24"/>
          <w:szCs w:val="24"/>
          <w:lang w:eastAsia="zh-CN"/>
        </w:rPr>
        <w:t>　　　　</w:t>
      </w:r>
    </w:p>
    <w:p w14:paraId="7CFC8DD0">
      <w:pPr>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br w:type="page"/>
      </w:r>
    </w:p>
    <w:p w14:paraId="588F5AFC">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7</w:t>
      </w:r>
    </w:p>
    <w:p w14:paraId="5264AFF6">
      <w:pPr>
        <w:pStyle w:val="9"/>
        <w:keepNext w:val="0"/>
        <w:keepLines w:val="0"/>
        <w:pageBreakBefore w:val="0"/>
        <w:widowControl w:val="0"/>
        <w:shd w:val="clear"/>
        <w:kinsoku/>
        <w:wordWrap/>
        <w:overflowPunct w:val="0"/>
        <w:topLinePunct w:val="0"/>
        <w:autoSpaceDE/>
        <w:autoSpaceDN/>
        <w:bidi w:val="0"/>
        <w:adjustRightInd/>
        <w:snapToGrid/>
        <w:spacing w:before="169" w:beforeLines="50" w:beforeAutospacing="0" w:after="0" w:afterAutospacing="0" w:line="600" w:lineRule="exact"/>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长沙市慈善总会办公设备维修</w:t>
      </w:r>
    </w:p>
    <w:p w14:paraId="34DBF418">
      <w:pPr>
        <w:pStyle w:val="9"/>
        <w:keepNext w:val="0"/>
        <w:keepLines w:val="0"/>
        <w:pageBreakBefore w:val="0"/>
        <w:widowControl w:val="0"/>
        <w:shd w:val="clear"/>
        <w:kinsoku/>
        <w:wordWrap/>
        <w:overflowPunct w:val="0"/>
        <w:topLinePunct w:val="0"/>
        <w:autoSpaceDE/>
        <w:autoSpaceDN/>
        <w:bidi w:val="0"/>
        <w:adjustRightInd/>
        <w:snapToGrid/>
        <w:spacing w:before="0" w:beforeAutospacing="0" w:after="169" w:afterLines="50" w:afterAutospacing="0" w:line="600" w:lineRule="exact"/>
        <w:ind w:right="0" w:rightChars="0"/>
        <w:jc w:val="center"/>
        <w:textAlignment w:val="auto"/>
        <w:rPr>
          <w:rFonts w:hint="default" w:ascii="Times New Roman" w:hAnsi="Times New Roman" w:eastAsia="方正小标宋简体" w:cs="Times New Roman"/>
          <w:color w:val="000000"/>
          <w:sz w:val="44"/>
          <w:szCs w:val="44"/>
          <w:lang w:val="en-US" w:eastAsia="zh-CN"/>
        </w:rPr>
      </w:pPr>
      <w:r>
        <w:rPr>
          <w:rFonts w:hint="default" w:ascii="Times New Roman" w:hAnsi="Times New Roman" w:eastAsia="方正小标宋简体" w:cs="Times New Roman"/>
          <w:color w:val="000000"/>
          <w:sz w:val="44"/>
          <w:szCs w:val="44"/>
          <w:lang w:val="en-US" w:eastAsia="zh-CN"/>
        </w:rPr>
        <w:t>申请表</w:t>
      </w:r>
    </w:p>
    <w:p w14:paraId="0DEE7E92">
      <w:pPr>
        <w:keepNext w:val="0"/>
        <w:keepLines w:val="0"/>
        <w:pageBreakBefore w:val="0"/>
        <w:widowControl w:val="0"/>
        <w:shd w:val="clear"/>
        <w:kinsoku/>
        <w:wordWrap/>
        <w:overflowPunct w:val="0"/>
        <w:topLinePunct w:val="0"/>
        <w:autoSpaceDE/>
        <w:autoSpaceDN/>
        <w:bidi w:val="0"/>
        <w:adjustRightInd/>
        <w:snapToGrid/>
        <w:spacing w:beforeAutospacing="0" w:afterAutospacing="0" w:line="400" w:lineRule="exact"/>
        <w:ind w:right="0" w:rightChars="0"/>
        <w:jc w:val="center"/>
        <w:textAlignment w:val="auto"/>
        <w:rPr>
          <w:rFonts w:hint="default" w:ascii="Times New Roman" w:hAnsi="Times New Roman" w:eastAsia="楷体_GB2312" w:cs="Times New Roman"/>
          <w:b/>
          <w:bCs/>
          <w:color w:val="000000"/>
          <w:sz w:val="28"/>
          <w:szCs w:val="28"/>
          <w:lang w:eastAsia="zh-CN"/>
        </w:rPr>
      </w:pPr>
      <w:r>
        <w:rPr>
          <w:rFonts w:hint="default" w:ascii="Times New Roman" w:hAnsi="Times New Roman" w:eastAsia="楷体_GB2312" w:cs="Times New Roman"/>
          <w:b/>
          <w:bCs/>
          <w:color w:val="000000"/>
          <w:sz w:val="28"/>
          <w:szCs w:val="28"/>
          <w:lang w:eastAsia="zh-CN"/>
        </w:rPr>
        <w:t>填报部门：　　　　　　　　　　　填报日期：　　年　　月　　日</w:t>
      </w:r>
    </w:p>
    <w:tbl>
      <w:tblPr>
        <w:tblStyle w:val="1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2709"/>
        <w:gridCol w:w="1563"/>
        <w:gridCol w:w="2862"/>
      </w:tblGrid>
      <w:tr w14:paraId="5A36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728" w:type="dxa"/>
            <w:noWrap w:val="0"/>
            <w:vAlign w:val="center"/>
          </w:tcPr>
          <w:p w14:paraId="0229E701">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维修事由及预算</w:t>
            </w:r>
          </w:p>
        </w:tc>
        <w:tc>
          <w:tcPr>
            <w:tcW w:w="7218" w:type="dxa"/>
            <w:gridSpan w:val="3"/>
            <w:noWrap w:val="0"/>
            <w:vAlign w:val="center"/>
          </w:tcPr>
          <w:p w14:paraId="4C9267F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53A8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jc w:val="center"/>
        </w:trPr>
        <w:tc>
          <w:tcPr>
            <w:tcW w:w="1728" w:type="dxa"/>
            <w:noWrap w:val="0"/>
            <w:vAlign w:val="center"/>
          </w:tcPr>
          <w:p w14:paraId="23C01D56">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承办部门</w:t>
            </w:r>
          </w:p>
          <w:p w14:paraId="5E1EE25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申报意见</w:t>
            </w:r>
          </w:p>
        </w:tc>
        <w:tc>
          <w:tcPr>
            <w:tcW w:w="2744" w:type="dxa"/>
            <w:noWrap w:val="0"/>
            <w:vAlign w:val="center"/>
          </w:tcPr>
          <w:p w14:paraId="7BD33A77">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c>
          <w:tcPr>
            <w:tcW w:w="1576" w:type="dxa"/>
            <w:noWrap w:val="0"/>
            <w:vAlign w:val="center"/>
          </w:tcPr>
          <w:p w14:paraId="7F07188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综合部、财务部核查意见</w:t>
            </w:r>
          </w:p>
        </w:tc>
        <w:tc>
          <w:tcPr>
            <w:tcW w:w="2898" w:type="dxa"/>
            <w:noWrap w:val="0"/>
            <w:vAlign w:val="center"/>
          </w:tcPr>
          <w:p w14:paraId="1B36B600">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6A5F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8" w:hRule="atLeast"/>
          <w:jc w:val="center"/>
        </w:trPr>
        <w:tc>
          <w:tcPr>
            <w:tcW w:w="1728" w:type="dxa"/>
            <w:noWrap w:val="0"/>
            <w:vAlign w:val="center"/>
          </w:tcPr>
          <w:p w14:paraId="10C12248">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分管副秘书长</w:t>
            </w:r>
          </w:p>
          <w:p w14:paraId="521DD18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审批</w:t>
            </w:r>
          </w:p>
        </w:tc>
        <w:tc>
          <w:tcPr>
            <w:tcW w:w="7218" w:type="dxa"/>
            <w:gridSpan w:val="3"/>
            <w:noWrap w:val="0"/>
            <w:vAlign w:val="center"/>
          </w:tcPr>
          <w:p w14:paraId="3CF11FCC">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r w14:paraId="015F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8" w:hRule="atLeast"/>
          <w:jc w:val="center"/>
        </w:trPr>
        <w:tc>
          <w:tcPr>
            <w:tcW w:w="1728" w:type="dxa"/>
            <w:noWrap w:val="0"/>
            <w:vAlign w:val="center"/>
          </w:tcPr>
          <w:p w14:paraId="3AB32CAB">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秘书长审批</w:t>
            </w:r>
          </w:p>
        </w:tc>
        <w:tc>
          <w:tcPr>
            <w:tcW w:w="7218" w:type="dxa"/>
            <w:gridSpan w:val="3"/>
            <w:noWrap w:val="0"/>
            <w:vAlign w:val="center"/>
          </w:tcPr>
          <w:p w14:paraId="51947084">
            <w:pPr>
              <w:keepNext w:val="0"/>
              <w:keepLines w:val="0"/>
              <w:pageBreakBefore w:val="0"/>
              <w:widowControl w:val="0"/>
              <w:shd w:val="clear"/>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sz w:val="21"/>
                <w:szCs w:val="21"/>
              </w:rPr>
            </w:pPr>
          </w:p>
        </w:tc>
      </w:tr>
    </w:tbl>
    <w:p w14:paraId="256C4DA5">
      <w:pPr>
        <w:keepNext w:val="0"/>
        <w:keepLines w:val="0"/>
        <w:pageBreakBefore w:val="0"/>
        <w:widowControl w:val="0"/>
        <w:shd w:val="clear"/>
        <w:tabs>
          <w:tab w:val="left" w:pos="1800"/>
        </w:tabs>
        <w:kinsoku/>
        <w:overflowPunct w:val="0"/>
        <w:topLinePunct w:val="0"/>
        <w:bidi w:val="0"/>
        <w:spacing w:beforeAutospacing="0" w:afterAutospacing="0" w:line="600" w:lineRule="exact"/>
        <w:ind w:left="0" w:leftChars="0" w:right="0" w:rightChars="0" w:firstLine="480" w:firstLineChars="200"/>
        <w:jc w:val="both"/>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备注：审批权限参照财务管理制度</w:t>
      </w:r>
    </w:p>
    <w:p w14:paraId="36DB58C8">
      <w:pPr>
        <w:rPr>
          <w:rFonts w:hint="default" w:ascii="Times New Roman" w:hAnsi="Times New Roman" w:eastAsia="仿宋_GB2312" w:cs="Times New Roman"/>
          <w:color w:val="000000"/>
          <w:sz w:val="30"/>
          <w:szCs w:val="30"/>
        </w:rPr>
      </w:pPr>
      <w:r>
        <w:rPr>
          <w:rFonts w:hint="default" w:ascii="Times New Roman" w:hAnsi="Times New Roman" w:eastAsia="仿宋_GB2312" w:cs="Times New Roman"/>
          <w:color w:val="000000"/>
          <w:sz w:val="30"/>
          <w:szCs w:val="30"/>
        </w:rPr>
        <w:br w:type="page"/>
      </w:r>
    </w:p>
    <w:p w14:paraId="02CAD83E">
      <w:pPr>
        <w:keepNext w:val="0"/>
        <w:keepLines w:val="0"/>
        <w:pageBreakBefore w:val="0"/>
        <w:widowControl w:val="0"/>
        <w:shd w:val="clear"/>
        <w:kinsoku/>
        <w:overflowPunct w:val="0"/>
        <w:topLinePunct w:val="0"/>
        <w:bidi w:val="0"/>
        <w:spacing w:beforeAutospacing="0" w:afterAutospacing="0" w:line="600" w:lineRule="exact"/>
        <w:ind w:right="0" w:rightChars="0"/>
        <w:jc w:val="both"/>
        <w:rPr>
          <w:rFonts w:hint="eastAsia" w:ascii="Times New Roman" w:hAnsi="Times New Roman" w:eastAsia="黑体" w:cs="Times New Roman"/>
          <w:color w:val="000000"/>
          <w:sz w:val="30"/>
          <w:szCs w:val="30"/>
          <w:lang w:eastAsia="zh-CN"/>
        </w:rPr>
      </w:pPr>
      <w:r>
        <w:rPr>
          <w:rFonts w:hint="default" w:ascii="Times New Roman" w:hAnsi="Times New Roman" w:eastAsia="黑体" w:cs="Times New Roman"/>
          <w:color w:val="000000"/>
          <w:sz w:val="30"/>
          <w:szCs w:val="30"/>
        </w:rPr>
        <w:t>附件</w:t>
      </w:r>
      <w:r>
        <w:rPr>
          <w:rFonts w:hint="eastAsia" w:ascii="Times New Roman" w:hAnsi="Times New Roman" w:eastAsia="黑体" w:cs="Times New Roman"/>
          <w:color w:val="000000"/>
          <w:sz w:val="30"/>
          <w:szCs w:val="30"/>
          <w:lang w:val="en-US" w:eastAsia="zh-CN"/>
        </w:rPr>
        <w:t>8</w:t>
      </w:r>
    </w:p>
    <w:p w14:paraId="71B4915B">
      <w:pPr>
        <w:keepNext w:val="0"/>
        <w:keepLines w:val="0"/>
        <w:pageBreakBefore w:val="0"/>
        <w:widowControl w:val="0"/>
        <w:shd w:val="clear"/>
        <w:tabs>
          <w:tab w:val="left" w:pos="1800"/>
        </w:tabs>
        <w:kinsoku/>
        <w:wordWrap/>
        <w:overflowPunct w:val="0"/>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default" w:ascii="Times New Roman" w:hAnsi="Times New Roman" w:eastAsia="仿宋_GB2312" w:cs="Times New Roman"/>
          <w:bCs/>
          <w:spacing w:val="0"/>
          <w:w w:val="100"/>
          <w:sz w:val="30"/>
          <w:szCs w:val="30"/>
          <w:lang w:val="en-US" w:eastAsia="zh-CN"/>
        </w:rPr>
      </w:pPr>
      <w:r>
        <w:rPr>
          <w:rFonts w:hint="default" w:ascii="Times New Roman" w:hAnsi="Times New Roman" w:eastAsia="仿宋_GB2312" w:cs="Times New Roman"/>
          <w:color w:val="000000"/>
          <w:sz w:val="30"/>
          <w:szCs w:val="30"/>
        </w:rPr>
        <w:drawing>
          <wp:inline distT="0" distB="0" distL="114300" distR="114300">
            <wp:extent cx="5574665" cy="8038465"/>
            <wp:effectExtent l="0" t="0" r="6985" b="635"/>
            <wp:docPr id="47" name="图片 6" descr="QQ图片202008241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QQ图片20200824164528"/>
                    <pic:cNvPicPr>
                      <a:picLocks noChangeAspect="1"/>
                    </pic:cNvPicPr>
                  </pic:nvPicPr>
                  <pic:blipFill>
                    <a:blip r:embed="rId6"/>
                    <a:srcRect l="9813" t="10863" r="2525" b="9904"/>
                    <a:stretch>
                      <a:fillRect/>
                    </a:stretch>
                  </pic:blipFill>
                  <pic:spPr>
                    <a:xfrm>
                      <a:off x="0" y="0"/>
                      <a:ext cx="5574665" cy="8038465"/>
                    </a:xfrm>
                    <a:prstGeom prst="rect">
                      <a:avLst/>
                    </a:prstGeom>
                    <a:noFill/>
                    <a:ln>
                      <a:noFill/>
                    </a:ln>
                  </pic:spPr>
                </pic:pic>
              </a:graphicData>
            </a:graphic>
          </wp:inline>
        </w:drawing>
      </w:r>
      <w:r>
        <w:rPr>
          <w:rFonts w:hint="default" w:ascii="Times New Roman" w:hAnsi="Times New Roman" w:eastAsia="仿宋_GB2312" w:cs="Times New Roman"/>
          <w:color w:val="000000"/>
          <w:sz w:val="30"/>
          <w:szCs w:val="30"/>
        </w:rPr>
        <w:drawing>
          <wp:inline distT="0" distB="0" distL="114300" distR="114300">
            <wp:extent cx="5589270" cy="8417560"/>
            <wp:effectExtent l="0" t="0" r="11430" b="2540"/>
            <wp:docPr id="44" name="图片 7" descr="QQ图片2020082416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QQ图片20200824165622"/>
                    <pic:cNvPicPr>
                      <a:picLocks noChangeAspect="1"/>
                    </pic:cNvPicPr>
                  </pic:nvPicPr>
                  <pic:blipFill>
                    <a:blip r:embed="rId7"/>
                    <a:srcRect l="6631" t="9483" r="7401" b="9019"/>
                    <a:stretch>
                      <a:fillRect/>
                    </a:stretch>
                  </pic:blipFill>
                  <pic:spPr>
                    <a:xfrm>
                      <a:off x="0" y="0"/>
                      <a:ext cx="5589270" cy="8417560"/>
                    </a:xfrm>
                    <a:prstGeom prst="rect">
                      <a:avLst/>
                    </a:prstGeom>
                    <a:noFill/>
                    <a:ln>
                      <a:noFill/>
                    </a:ln>
                  </pic:spPr>
                </pic:pic>
              </a:graphicData>
            </a:graphic>
          </wp:inline>
        </w:drawing>
      </w:r>
      <w:r>
        <w:rPr>
          <w:rFonts w:hint="default" w:ascii="Times New Roman" w:hAnsi="Times New Roman" w:eastAsia="仿宋_GB2312" w:cs="Times New Roman"/>
          <w:color w:val="000000"/>
          <w:sz w:val="30"/>
          <w:szCs w:val="30"/>
        </w:rPr>
        <w:drawing>
          <wp:inline distT="0" distB="0" distL="114300" distR="114300">
            <wp:extent cx="5575935" cy="8491855"/>
            <wp:effectExtent l="0" t="0" r="5715" b="4445"/>
            <wp:docPr id="33" name="图片 8" descr="QQ图片2020082416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QQ图片20200824165628"/>
                    <pic:cNvPicPr>
                      <a:picLocks noChangeAspect="1"/>
                    </pic:cNvPicPr>
                  </pic:nvPicPr>
                  <pic:blipFill>
                    <a:blip r:embed="rId8"/>
                    <a:srcRect l="11609" t="9846" r="2423" b="8620"/>
                    <a:stretch>
                      <a:fillRect/>
                    </a:stretch>
                  </pic:blipFill>
                  <pic:spPr>
                    <a:xfrm>
                      <a:off x="0" y="0"/>
                      <a:ext cx="5575935" cy="8491855"/>
                    </a:xfrm>
                    <a:prstGeom prst="rect">
                      <a:avLst/>
                    </a:prstGeom>
                    <a:noFill/>
                    <a:ln>
                      <a:noFill/>
                    </a:ln>
                  </pic:spPr>
                </pic:pic>
              </a:graphicData>
            </a:graphic>
          </wp:inline>
        </w:drawing>
      </w:r>
      <w:r>
        <w:rPr>
          <w:rFonts w:hint="default" w:ascii="Times New Roman" w:hAnsi="Times New Roman" w:eastAsia="仿宋_GB2312" w:cs="Times New Roman"/>
          <w:color w:val="000000"/>
          <w:sz w:val="30"/>
          <w:szCs w:val="30"/>
        </w:rPr>
        <w:drawing>
          <wp:inline distT="0" distB="0" distL="114300" distR="114300">
            <wp:extent cx="5537835" cy="8433435"/>
            <wp:effectExtent l="0" t="0" r="5715" b="5715"/>
            <wp:docPr id="36" name="图片 9" descr="QQ图片2020082416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QQ图片20200824165632"/>
                    <pic:cNvPicPr>
                      <a:picLocks noChangeAspect="1"/>
                    </pic:cNvPicPr>
                  </pic:nvPicPr>
                  <pic:blipFill>
                    <a:blip r:embed="rId9"/>
                    <a:srcRect l="6631" t="9135" r="8171" b="8990"/>
                    <a:stretch>
                      <a:fillRect/>
                    </a:stretch>
                  </pic:blipFill>
                  <pic:spPr>
                    <a:xfrm>
                      <a:off x="0" y="0"/>
                      <a:ext cx="5537835" cy="8433435"/>
                    </a:xfrm>
                    <a:prstGeom prst="rect">
                      <a:avLst/>
                    </a:prstGeom>
                    <a:noFill/>
                    <a:ln>
                      <a:noFill/>
                    </a:ln>
                  </pic:spPr>
                </pic:pic>
              </a:graphicData>
            </a:graphic>
          </wp:inline>
        </w:drawing>
      </w:r>
    </w:p>
    <w:sectPr>
      <w:footerReference r:id="rId4" w:type="default"/>
      <w:pgSz w:w="11905" w:h="16838"/>
      <w:pgMar w:top="1701" w:right="1587" w:bottom="1701" w:left="1587" w:header="851" w:footer="1417"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7F2805E-F5FD-458A-B569-251E7E036E9A}"/>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3F890E1-99C0-4149-8B2E-C43735AC451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5DED00E-2FDD-429C-ACD6-02C5E0F6BE0B}"/>
  </w:font>
  <w:font w:name="PMingLiU">
    <w:panose1 w:val="02020500000000000000"/>
    <w:charset w:val="88"/>
    <w:family w:val="auto"/>
    <w:pitch w:val="default"/>
    <w:sig w:usb0="A00002FF" w:usb1="28CFFCFA" w:usb2="00000016" w:usb3="00000000" w:csb0="00100001" w:csb1="00000000"/>
  </w:font>
  <w:font w:name="方正小标宋简体">
    <w:panose1 w:val="02010601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4" w:fontKey="{4A576F00-4C85-423B-80CA-E6C33832CCFD}"/>
  </w:font>
  <w:font w:name="+中文正文">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embedRegular r:id="rId5" w:fontKey="{8E53732B-10BD-428E-9E5F-8F3AFD1D7F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6" w:fontKey="{AB183EED-B879-4709-A771-16066B51B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2DBBA">
    <w:pPr>
      <w:pStyle w:val="6"/>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7A03B">
                          <w:pPr>
                            <w:pStyle w:val="6"/>
                          </w:pPr>
                          <w:r>
                            <w:t xml:space="preserve">— </w:t>
                          </w:r>
                          <w:r>
                            <w:rPr>
                              <w:sz w:val="22"/>
                              <w:szCs w:val="22"/>
                            </w:rPr>
                            <w:fldChar w:fldCharType="begin"/>
                          </w:r>
                          <w:r>
                            <w:rPr>
                              <w:sz w:val="22"/>
                              <w:szCs w:val="22"/>
                            </w:rPr>
                            <w:instrText xml:space="preserve"> PAGE  \* MERGEFORMAT </w:instrText>
                          </w:r>
                          <w:r>
                            <w:rPr>
                              <w:sz w:val="22"/>
                              <w:szCs w:val="22"/>
                            </w:rPr>
                            <w:fldChar w:fldCharType="separate"/>
                          </w:r>
                          <w:r>
                            <w:rPr>
                              <w:sz w:val="22"/>
                              <w:szCs w:val="22"/>
                            </w:rPr>
                            <w:t>3</w:t>
                          </w:r>
                          <w:r>
                            <w:rPr>
                              <w:sz w:val="22"/>
                              <w:szCs w:val="22"/>
                            </w:rPr>
                            <w:fldChar w:fldCharType="end"/>
                          </w:r>
                          <w:r>
                            <w:rPr>
                              <w:sz w:val="22"/>
                              <w:szCs w:val="22"/>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47A03B">
                    <w:pPr>
                      <w:pStyle w:val="6"/>
                    </w:pPr>
                    <w:r>
                      <w:t xml:space="preserve">— </w:t>
                    </w:r>
                    <w:r>
                      <w:rPr>
                        <w:sz w:val="22"/>
                        <w:szCs w:val="22"/>
                      </w:rPr>
                      <w:fldChar w:fldCharType="begin"/>
                    </w:r>
                    <w:r>
                      <w:rPr>
                        <w:sz w:val="22"/>
                        <w:szCs w:val="22"/>
                      </w:rPr>
                      <w:instrText xml:space="preserve"> PAGE  \* MERGEFORMAT </w:instrText>
                    </w:r>
                    <w:r>
                      <w:rPr>
                        <w:sz w:val="22"/>
                        <w:szCs w:val="22"/>
                      </w:rPr>
                      <w:fldChar w:fldCharType="separate"/>
                    </w:r>
                    <w:r>
                      <w:rPr>
                        <w:sz w:val="22"/>
                        <w:szCs w:val="22"/>
                      </w:rPr>
                      <w:t>3</w:t>
                    </w:r>
                    <w:r>
                      <w:rPr>
                        <w:sz w:val="22"/>
                        <w:szCs w:val="22"/>
                      </w:rPr>
                      <w:fldChar w:fldCharType="end"/>
                    </w:r>
                    <w:r>
                      <w:rPr>
                        <w:sz w:val="22"/>
                        <w:szCs w:val="22"/>
                      </w:rPr>
                      <w:t xml:space="preserve"> </w:t>
                    </w:r>
                    <w: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71B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37B12">
                          <w:pPr>
                            <w:pStyle w:val="6"/>
                          </w:pPr>
                          <w:r>
                            <w:t xml:space="preserve">— </w:t>
                          </w:r>
                          <w:r>
                            <w:fldChar w:fldCharType="begin"/>
                          </w:r>
                          <w:r>
                            <w:instrText xml:space="preserve"> PAGE  \* MERGEFORMAT </w:instrText>
                          </w:r>
                          <w:r>
                            <w:fldChar w:fldCharType="separate"/>
                          </w:r>
                          <w:r>
                            <w:t>24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0137B12">
                    <w:pPr>
                      <w:pStyle w:val="6"/>
                    </w:pPr>
                    <w:r>
                      <w:t xml:space="preserve">— </w:t>
                    </w:r>
                    <w:r>
                      <w:fldChar w:fldCharType="begin"/>
                    </w:r>
                    <w:r>
                      <w:instrText xml:space="preserve"> PAGE  \* MERGEFORMAT </w:instrText>
                    </w:r>
                    <w:r>
                      <w:fldChar w:fldCharType="separate"/>
                    </w:r>
                    <w:r>
                      <w:t>24</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640"/>
  <w:drawingGridHorizontalSpacing w:val="210"/>
  <w:drawingGridVerticalSpacing w:val="16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mOTYxOTdjZjkzOGIyODBkMWJhMzU1NDU3MzZhOTIifQ=="/>
  </w:docVars>
  <w:rsids>
    <w:rsidRoot w:val="34185C35"/>
    <w:rsid w:val="001A1EDA"/>
    <w:rsid w:val="00406A0F"/>
    <w:rsid w:val="004B0D73"/>
    <w:rsid w:val="005A2D64"/>
    <w:rsid w:val="006D0233"/>
    <w:rsid w:val="00876EF0"/>
    <w:rsid w:val="01227043"/>
    <w:rsid w:val="015D4CDD"/>
    <w:rsid w:val="01F454AF"/>
    <w:rsid w:val="022644A3"/>
    <w:rsid w:val="02467A44"/>
    <w:rsid w:val="0293589A"/>
    <w:rsid w:val="03561F09"/>
    <w:rsid w:val="03884562"/>
    <w:rsid w:val="03CF3A69"/>
    <w:rsid w:val="044A784B"/>
    <w:rsid w:val="04BA64C7"/>
    <w:rsid w:val="04BE504B"/>
    <w:rsid w:val="04CE0634"/>
    <w:rsid w:val="04FE2217"/>
    <w:rsid w:val="056C26DE"/>
    <w:rsid w:val="05777F14"/>
    <w:rsid w:val="06CC4290"/>
    <w:rsid w:val="06E150D6"/>
    <w:rsid w:val="07014A23"/>
    <w:rsid w:val="076957C5"/>
    <w:rsid w:val="081A5D3E"/>
    <w:rsid w:val="08C5791A"/>
    <w:rsid w:val="08D57133"/>
    <w:rsid w:val="08D765DE"/>
    <w:rsid w:val="092832A9"/>
    <w:rsid w:val="09AA151E"/>
    <w:rsid w:val="0A7669ED"/>
    <w:rsid w:val="0A9C63D2"/>
    <w:rsid w:val="0B9F75D5"/>
    <w:rsid w:val="0BBC22C3"/>
    <w:rsid w:val="0C6A4A85"/>
    <w:rsid w:val="0CF12D1E"/>
    <w:rsid w:val="0D471FD0"/>
    <w:rsid w:val="0E126C82"/>
    <w:rsid w:val="0E462E6A"/>
    <w:rsid w:val="0FF400D3"/>
    <w:rsid w:val="10214519"/>
    <w:rsid w:val="10322AED"/>
    <w:rsid w:val="108B6843"/>
    <w:rsid w:val="10937656"/>
    <w:rsid w:val="11000CFA"/>
    <w:rsid w:val="11DB71A3"/>
    <w:rsid w:val="122A3C7E"/>
    <w:rsid w:val="126345D6"/>
    <w:rsid w:val="12B72423"/>
    <w:rsid w:val="12F52DA8"/>
    <w:rsid w:val="13460B25"/>
    <w:rsid w:val="136E0338"/>
    <w:rsid w:val="13EE3CAE"/>
    <w:rsid w:val="14B70B0D"/>
    <w:rsid w:val="14FE6DDD"/>
    <w:rsid w:val="15167CA0"/>
    <w:rsid w:val="15525A97"/>
    <w:rsid w:val="15836462"/>
    <w:rsid w:val="15C6296D"/>
    <w:rsid w:val="162609B7"/>
    <w:rsid w:val="16337103"/>
    <w:rsid w:val="16F84FE1"/>
    <w:rsid w:val="17356A1D"/>
    <w:rsid w:val="177E3384"/>
    <w:rsid w:val="17A57FA1"/>
    <w:rsid w:val="17D252BA"/>
    <w:rsid w:val="180E6167"/>
    <w:rsid w:val="185F4F64"/>
    <w:rsid w:val="18B661FA"/>
    <w:rsid w:val="18D760E4"/>
    <w:rsid w:val="18D81BA2"/>
    <w:rsid w:val="19384169"/>
    <w:rsid w:val="195F5F86"/>
    <w:rsid w:val="19947E99"/>
    <w:rsid w:val="19EE7828"/>
    <w:rsid w:val="1A4F0D0E"/>
    <w:rsid w:val="1A637F84"/>
    <w:rsid w:val="1AA665D9"/>
    <w:rsid w:val="1B5832EA"/>
    <w:rsid w:val="1BCE4119"/>
    <w:rsid w:val="1BEA3215"/>
    <w:rsid w:val="1CBD494F"/>
    <w:rsid w:val="1D2B2547"/>
    <w:rsid w:val="1DFD2C1B"/>
    <w:rsid w:val="1EB01E85"/>
    <w:rsid w:val="1F3A7255"/>
    <w:rsid w:val="1F4E0726"/>
    <w:rsid w:val="1FBF3FC8"/>
    <w:rsid w:val="1FEE7A64"/>
    <w:rsid w:val="203D0875"/>
    <w:rsid w:val="20D37F4B"/>
    <w:rsid w:val="217935B0"/>
    <w:rsid w:val="21DC0C82"/>
    <w:rsid w:val="21E45EE0"/>
    <w:rsid w:val="21E7364A"/>
    <w:rsid w:val="238D7FAD"/>
    <w:rsid w:val="23DF15D2"/>
    <w:rsid w:val="24277076"/>
    <w:rsid w:val="249064A5"/>
    <w:rsid w:val="24BE688D"/>
    <w:rsid w:val="251610A0"/>
    <w:rsid w:val="25BD776E"/>
    <w:rsid w:val="25CF7214"/>
    <w:rsid w:val="272F7AD6"/>
    <w:rsid w:val="277F117F"/>
    <w:rsid w:val="27867C5E"/>
    <w:rsid w:val="285E3389"/>
    <w:rsid w:val="289933AC"/>
    <w:rsid w:val="290C2A3B"/>
    <w:rsid w:val="29163CD3"/>
    <w:rsid w:val="29B9211C"/>
    <w:rsid w:val="29C63095"/>
    <w:rsid w:val="29F357BE"/>
    <w:rsid w:val="2A4C458D"/>
    <w:rsid w:val="2A4E308A"/>
    <w:rsid w:val="2A8D0A0D"/>
    <w:rsid w:val="2ADF0483"/>
    <w:rsid w:val="2BC3635D"/>
    <w:rsid w:val="2BCD1AE0"/>
    <w:rsid w:val="2BF672B2"/>
    <w:rsid w:val="2C3B1B1B"/>
    <w:rsid w:val="2C6D1CC7"/>
    <w:rsid w:val="2D585397"/>
    <w:rsid w:val="2D7665DE"/>
    <w:rsid w:val="2D772123"/>
    <w:rsid w:val="2DB948BE"/>
    <w:rsid w:val="2DDD46C4"/>
    <w:rsid w:val="2DFE0923"/>
    <w:rsid w:val="2E4B1F96"/>
    <w:rsid w:val="2E697052"/>
    <w:rsid w:val="2F1E106D"/>
    <w:rsid w:val="2FAA2B11"/>
    <w:rsid w:val="2FAA7BDA"/>
    <w:rsid w:val="2FDC392C"/>
    <w:rsid w:val="30230CE6"/>
    <w:rsid w:val="30884C37"/>
    <w:rsid w:val="30E97730"/>
    <w:rsid w:val="314109CA"/>
    <w:rsid w:val="318D3FEB"/>
    <w:rsid w:val="32054B67"/>
    <w:rsid w:val="320C5536"/>
    <w:rsid w:val="32386105"/>
    <w:rsid w:val="337E361F"/>
    <w:rsid w:val="33AA3BD3"/>
    <w:rsid w:val="33E270A3"/>
    <w:rsid w:val="33F24A4C"/>
    <w:rsid w:val="34185C35"/>
    <w:rsid w:val="34367E3A"/>
    <w:rsid w:val="34C7159F"/>
    <w:rsid w:val="34DF2F1B"/>
    <w:rsid w:val="34ED3936"/>
    <w:rsid w:val="35064C8D"/>
    <w:rsid w:val="364634BD"/>
    <w:rsid w:val="36516BB2"/>
    <w:rsid w:val="366538CF"/>
    <w:rsid w:val="36721497"/>
    <w:rsid w:val="36843CB8"/>
    <w:rsid w:val="377D2A7B"/>
    <w:rsid w:val="37D6058A"/>
    <w:rsid w:val="37D87C8E"/>
    <w:rsid w:val="37FA03AE"/>
    <w:rsid w:val="38163439"/>
    <w:rsid w:val="38564B83"/>
    <w:rsid w:val="385D753C"/>
    <w:rsid w:val="39727BE4"/>
    <w:rsid w:val="3A012E3E"/>
    <w:rsid w:val="3A2C7F4D"/>
    <w:rsid w:val="3A5E63B8"/>
    <w:rsid w:val="3AC01A91"/>
    <w:rsid w:val="3AEE6870"/>
    <w:rsid w:val="3B3B5D4F"/>
    <w:rsid w:val="3BA935D7"/>
    <w:rsid w:val="3BE03ACC"/>
    <w:rsid w:val="3C546141"/>
    <w:rsid w:val="3C5D1731"/>
    <w:rsid w:val="3C7D267A"/>
    <w:rsid w:val="3CC63BD9"/>
    <w:rsid w:val="3D056BAC"/>
    <w:rsid w:val="3D324146"/>
    <w:rsid w:val="3DE95EB7"/>
    <w:rsid w:val="3DEE1991"/>
    <w:rsid w:val="3E4B345B"/>
    <w:rsid w:val="3E884400"/>
    <w:rsid w:val="3E926D98"/>
    <w:rsid w:val="3F15102A"/>
    <w:rsid w:val="3F744EE9"/>
    <w:rsid w:val="3F84512C"/>
    <w:rsid w:val="401732E8"/>
    <w:rsid w:val="41007714"/>
    <w:rsid w:val="41226DFB"/>
    <w:rsid w:val="413054AA"/>
    <w:rsid w:val="41557121"/>
    <w:rsid w:val="41F63994"/>
    <w:rsid w:val="420A2D4A"/>
    <w:rsid w:val="42652475"/>
    <w:rsid w:val="42BE6BA7"/>
    <w:rsid w:val="44436AC7"/>
    <w:rsid w:val="445617C9"/>
    <w:rsid w:val="445D35F5"/>
    <w:rsid w:val="45513635"/>
    <w:rsid w:val="457E336A"/>
    <w:rsid w:val="45A50ED8"/>
    <w:rsid w:val="45AA19D8"/>
    <w:rsid w:val="45E1163F"/>
    <w:rsid w:val="462057AA"/>
    <w:rsid w:val="46F76DB6"/>
    <w:rsid w:val="470C2DAE"/>
    <w:rsid w:val="47190850"/>
    <w:rsid w:val="47FF070F"/>
    <w:rsid w:val="48081C48"/>
    <w:rsid w:val="48137084"/>
    <w:rsid w:val="483E7E42"/>
    <w:rsid w:val="4894000C"/>
    <w:rsid w:val="48A74206"/>
    <w:rsid w:val="48AA4D31"/>
    <w:rsid w:val="48D9212F"/>
    <w:rsid w:val="493203A6"/>
    <w:rsid w:val="49A33E79"/>
    <w:rsid w:val="49CE00ED"/>
    <w:rsid w:val="4ACA61F8"/>
    <w:rsid w:val="4AE15909"/>
    <w:rsid w:val="4B92085A"/>
    <w:rsid w:val="4BC649F2"/>
    <w:rsid w:val="4C4F3781"/>
    <w:rsid w:val="4C8C2F4B"/>
    <w:rsid w:val="4CCE127A"/>
    <w:rsid w:val="4D040181"/>
    <w:rsid w:val="4D830553"/>
    <w:rsid w:val="4D8C33FE"/>
    <w:rsid w:val="4DD06F5A"/>
    <w:rsid w:val="4ECB6814"/>
    <w:rsid w:val="4F3557D2"/>
    <w:rsid w:val="4F8A39F8"/>
    <w:rsid w:val="4F8A493D"/>
    <w:rsid w:val="4F8C24DD"/>
    <w:rsid w:val="4FAD6C01"/>
    <w:rsid w:val="4FC45EAC"/>
    <w:rsid w:val="4FC963CA"/>
    <w:rsid w:val="50013BA7"/>
    <w:rsid w:val="502C47D7"/>
    <w:rsid w:val="50493828"/>
    <w:rsid w:val="5100482F"/>
    <w:rsid w:val="51255BEA"/>
    <w:rsid w:val="514D009E"/>
    <w:rsid w:val="51A66D44"/>
    <w:rsid w:val="51EE28D9"/>
    <w:rsid w:val="51FD4CAF"/>
    <w:rsid w:val="520E7E1E"/>
    <w:rsid w:val="52BC5491"/>
    <w:rsid w:val="52E77A54"/>
    <w:rsid w:val="53263F4E"/>
    <w:rsid w:val="536B4C7A"/>
    <w:rsid w:val="53BB1BA5"/>
    <w:rsid w:val="54342932"/>
    <w:rsid w:val="549B505D"/>
    <w:rsid w:val="54BF27A6"/>
    <w:rsid w:val="559141AA"/>
    <w:rsid w:val="55977CE7"/>
    <w:rsid w:val="55E10482"/>
    <w:rsid w:val="56006FA6"/>
    <w:rsid w:val="56523597"/>
    <w:rsid w:val="565847C5"/>
    <w:rsid w:val="580B6F57"/>
    <w:rsid w:val="582821E4"/>
    <w:rsid w:val="58DA6322"/>
    <w:rsid w:val="58DC1E6E"/>
    <w:rsid w:val="59927FEE"/>
    <w:rsid w:val="5ABA697D"/>
    <w:rsid w:val="5ABE5F17"/>
    <w:rsid w:val="5AE05C2A"/>
    <w:rsid w:val="5B046CCA"/>
    <w:rsid w:val="5B723F00"/>
    <w:rsid w:val="5B7B7D6D"/>
    <w:rsid w:val="5B940B9B"/>
    <w:rsid w:val="5C04544A"/>
    <w:rsid w:val="5C1D0F64"/>
    <w:rsid w:val="5C3444E4"/>
    <w:rsid w:val="5C422212"/>
    <w:rsid w:val="5CC151C5"/>
    <w:rsid w:val="5D03464B"/>
    <w:rsid w:val="5DA5350B"/>
    <w:rsid w:val="5DF4206B"/>
    <w:rsid w:val="5E2C72BE"/>
    <w:rsid w:val="5E4B29F9"/>
    <w:rsid w:val="5EDF688D"/>
    <w:rsid w:val="5EF82350"/>
    <w:rsid w:val="5FC23F2C"/>
    <w:rsid w:val="5FD0391C"/>
    <w:rsid w:val="5FE80968"/>
    <w:rsid w:val="60A56418"/>
    <w:rsid w:val="61637D56"/>
    <w:rsid w:val="61641171"/>
    <w:rsid w:val="61690122"/>
    <w:rsid w:val="616E7593"/>
    <w:rsid w:val="61B828FB"/>
    <w:rsid w:val="61D13042"/>
    <w:rsid w:val="629C012D"/>
    <w:rsid w:val="62A2257D"/>
    <w:rsid w:val="62E12409"/>
    <w:rsid w:val="633D3DD4"/>
    <w:rsid w:val="635E4C51"/>
    <w:rsid w:val="644F259F"/>
    <w:rsid w:val="6489157D"/>
    <w:rsid w:val="649D028B"/>
    <w:rsid w:val="65047D7F"/>
    <w:rsid w:val="65C32475"/>
    <w:rsid w:val="6664360E"/>
    <w:rsid w:val="66CA58D1"/>
    <w:rsid w:val="67921654"/>
    <w:rsid w:val="67E07F63"/>
    <w:rsid w:val="67FF144B"/>
    <w:rsid w:val="680447AD"/>
    <w:rsid w:val="68304FEE"/>
    <w:rsid w:val="684D4516"/>
    <w:rsid w:val="686960AB"/>
    <w:rsid w:val="690901C4"/>
    <w:rsid w:val="69967687"/>
    <w:rsid w:val="6A0116B1"/>
    <w:rsid w:val="6A4E001B"/>
    <w:rsid w:val="6A833EAB"/>
    <w:rsid w:val="6B2F0978"/>
    <w:rsid w:val="6B884C14"/>
    <w:rsid w:val="6BA97D6C"/>
    <w:rsid w:val="6BB97341"/>
    <w:rsid w:val="6BBE3214"/>
    <w:rsid w:val="6C496C32"/>
    <w:rsid w:val="6C521935"/>
    <w:rsid w:val="6D0A2431"/>
    <w:rsid w:val="6D3E016B"/>
    <w:rsid w:val="6D5C301B"/>
    <w:rsid w:val="6D987FF5"/>
    <w:rsid w:val="6E1B1F18"/>
    <w:rsid w:val="6E3F1EA8"/>
    <w:rsid w:val="6E7F693B"/>
    <w:rsid w:val="6E824122"/>
    <w:rsid w:val="6E985C4F"/>
    <w:rsid w:val="6EB3079E"/>
    <w:rsid w:val="6EFD26B8"/>
    <w:rsid w:val="6F0C36C7"/>
    <w:rsid w:val="6F3B67C9"/>
    <w:rsid w:val="6FD343C5"/>
    <w:rsid w:val="704614E6"/>
    <w:rsid w:val="7056407C"/>
    <w:rsid w:val="70622DD7"/>
    <w:rsid w:val="706658E7"/>
    <w:rsid w:val="717C7A65"/>
    <w:rsid w:val="718631F8"/>
    <w:rsid w:val="72BD4A8E"/>
    <w:rsid w:val="72C81D85"/>
    <w:rsid w:val="7309274E"/>
    <w:rsid w:val="73171838"/>
    <w:rsid w:val="73530839"/>
    <w:rsid w:val="736B6004"/>
    <w:rsid w:val="737629FD"/>
    <w:rsid w:val="73B21561"/>
    <w:rsid w:val="74712ACE"/>
    <w:rsid w:val="75C17839"/>
    <w:rsid w:val="761953F5"/>
    <w:rsid w:val="762F0C47"/>
    <w:rsid w:val="764C5FBF"/>
    <w:rsid w:val="76A2087D"/>
    <w:rsid w:val="76D0242A"/>
    <w:rsid w:val="77092D08"/>
    <w:rsid w:val="781E3A11"/>
    <w:rsid w:val="78B77851"/>
    <w:rsid w:val="79022643"/>
    <w:rsid w:val="79D63CA4"/>
    <w:rsid w:val="7A0F5836"/>
    <w:rsid w:val="7A1B72A8"/>
    <w:rsid w:val="7A9674E6"/>
    <w:rsid w:val="7ACD7486"/>
    <w:rsid w:val="7B3811E1"/>
    <w:rsid w:val="7B553121"/>
    <w:rsid w:val="7B57633D"/>
    <w:rsid w:val="7B664AA1"/>
    <w:rsid w:val="7B6861A8"/>
    <w:rsid w:val="7B7B71FF"/>
    <w:rsid w:val="7B8A30C4"/>
    <w:rsid w:val="7BEF159B"/>
    <w:rsid w:val="7BF700B4"/>
    <w:rsid w:val="7C676AFD"/>
    <w:rsid w:val="7CDB7267"/>
    <w:rsid w:val="7CED7B65"/>
    <w:rsid w:val="7D2C2A94"/>
    <w:rsid w:val="7D985ACE"/>
    <w:rsid w:val="7E727654"/>
    <w:rsid w:val="7F1F5B67"/>
    <w:rsid w:val="7F4B1C7D"/>
    <w:rsid w:val="7F635549"/>
    <w:rsid w:val="7FAE05D7"/>
    <w:rsid w:val="7FAFBDFC"/>
    <w:rsid w:val="7FE2045C"/>
    <w:rsid w:val="EECE2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style>
  <w:style w:type="paragraph" w:styleId="3">
    <w:name w:val="Body Text"/>
    <w:basedOn w:val="1"/>
    <w:autoRedefine/>
    <w:qFormat/>
    <w:uiPriority w:val="1"/>
    <w:pPr>
      <w:autoSpaceDE w:val="0"/>
      <w:autoSpaceDN w:val="0"/>
      <w:ind w:left="100"/>
      <w:jc w:val="left"/>
    </w:pPr>
    <w:rPr>
      <w:rFonts w:ascii="PMingLiU" w:hAnsi="PMingLiU" w:eastAsia="PMingLiU" w:cs="PMingLiU"/>
      <w:kern w:val="0"/>
      <w:sz w:val="28"/>
      <w:szCs w:val="28"/>
      <w:lang w:val="zh-CN" w:bidi="zh-CN"/>
    </w:rPr>
  </w:style>
  <w:style w:type="paragraph" w:styleId="4">
    <w:name w:val="Body Text Indent"/>
    <w:basedOn w:val="1"/>
    <w:autoRedefine/>
    <w:unhideWhenUsed/>
    <w:qFormat/>
    <w:uiPriority w:val="99"/>
    <w:pPr>
      <w:ind w:left="420" w:leftChars="200"/>
    </w:pPr>
  </w:style>
  <w:style w:type="paragraph" w:styleId="5">
    <w:name w:val="Plain Text"/>
    <w:basedOn w:val="1"/>
    <w:autoRedefine/>
    <w:qFormat/>
    <w:uiPriority w:val="0"/>
    <w:rPr>
      <w:rFonts w:ascii="宋体" w:hAnsi="Courier New" w:cs="Courier New"/>
      <w:szCs w:val="21"/>
    </w:rPr>
  </w:style>
  <w:style w:type="paragraph" w:styleId="6">
    <w:name w:val="footer"/>
    <w:basedOn w:val="1"/>
    <w:autoRedefine/>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autoRedefine/>
    <w:qFormat/>
    <w:uiPriority w:val="0"/>
    <w:rPr>
      <w:rFonts w:eastAsia="方正小标宋简体"/>
      <w:w w:val="85"/>
      <w:sz w:val="96"/>
      <w:szCs w:val="20"/>
    </w:rPr>
  </w:style>
  <w:style w:type="paragraph" w:styleId="9">
    <w:name w:val="Normal (Web)"/>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styleId="10">
    <w:name w:val="Body Text First Indent 2"/>
    <w:basedOn w:val="4"/>
    <w:autoRedefine/>
    <w:unhideWhenUsed/>
    <w:qFormat/>
    <w:uiPriority w:val="99"/>
    <w:pPr>
      <w:ind w:left="0" w:leftChars="0" w:firstLine="960"/>
    </w:pPr>
  </w:style>
  <w:style w:type="table" w:styleId="12">
    <w:name w:val="Table Grid"/>
    <w:basedOn w:val="11"/>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Strong"/>
    <w:basedOn w:val="13"/>
    <w:autoRedefine/>
    <w:qFormat/>
    <w:uiPriority w:val="0"/>
    <w:rPr>
      <w:b/>
    </w:rPr>
  </w:style>
  <w:style w:type="character" w:styleId="15">
    <w:name w:val="page number"/>
    <w:basedOn w:val="13"/>
    <w:autoRedefine/>
    <w:qFormat/>
    <w:uiPriority w:val="0"/>
    <w:rPr>
      <w:rFonts w:ascii="Times New Roman" w:hAnsi="Times New Roman" w:eastAsia="宋体" w:cs="Times New Roman"/>
    </w:rPr>
  </w:style>
  <w:style w:type="paragraph" w:customStyle="1" w:styleId="16">
    <w:name w:val="BodyText"/>
    <w:basedOn w:val="1"/>
    <w:autoRedefine/>
    <w:qFormat/>
    <w:uiPriority w:val="0"/>
    <w:pPr>
      <w:spacing w:after="120"/>
      <w:jc w:val="both"/>
      <w:textAlignment w:val="baseline"/>
    </w:pPr>
    <w:rPr>
      <w:rFonts w:ascii="Calibri" w:hAnsi="Calibri" w:eastAsia="华文细黑"/>
      <w:kern w:val="2"/>
      <w:sz w:val="28"/>
      <w:szCs w:val="28"/>
      <w:lang w:val="en-US" w:eastAsia="zh-CN" w:bidi="ar-SA"/>
    </w:rPr>
  </w:style>
  <w:style w:type="character" w:customStyle="1" w:styleId="17">
    <w:name w:val="apple-converted-space"/>
    <w:basedOn w:val="13"/>
    <w:autoRedefine/>
    <w:qFormat/>
    <w:uiPriority w:val="0"/>
    <w:rPr>
      <w:rFonts w:ascii="Times New Roman" w:hAnsi="Times New Roman" w:eastAsia="宋体" w:cs="Times New Roman"/>
    </w:rPr>
  </w:style>
  <w:style w:type="paragraph" w:customStyle="1" w:styleId="18">
    <w:name w:val=" Char"/>
    <w:basedOn w:val="1"/>
    <w:autoRedefine/>
    <w:qFormat/>
    <w:uiPriority w:val="0"/>
    <w:rPr>
      <w:rFonts w:ascii="Times New Roman" w:hAnsi="Times New Roman" w:eastAsia="宋体" w:cs="Times New Roman"/>
      <w:b/>
      <w:bCs/>
      <w:sz w:val="36"/>
      <w:szCs w:val="32"/>
    </w:rPr>
  </w:style>
  <w:style w:type="paragraph" w:customStyle="1" w:styleId="19">
    <w:name w:val="样式 文字 + 首行缩进:  2 字符3"/>
    <w:basedOn w:val="1"/>
    <w:autoRedefine/>
    <w:qFormat/>
    <w:uiPriority w:val="99"/>
    <w:pPr>
      <w:spacing w:line="360" w:lineRule="auto"/>
      <w:jc w:val="left"/>
    </w:pPr>
    <w:rPr>
      <w:rFonts w:ascii="等线" w:hAnsi="等线" w:eastAsia="等线"/>
      <w:sz w:val="28"/>
      <w:szCs w:val="28"/>
    </w:rPr>
  </w:style>
  <w:style w:type="paragraph" w:customStyle="1" w:styleId="20">
    <w:name w:val="paragraph"/>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character" w:customStyle="1" w:styleId="21">
    <w:name w:val="t141"/>
    <w:autoRedefine/>
    <w:qFormat/>
    <w:uiPriority w:val="0"/>
    <w:rPr>
      <w:rFonts w:cs="Times New Roman"/>
      <w:sz w:val="21"/>
      <w:szCs w:val="21"/>
    </w:rPr>
  </w:style>
  <w:style w:type="paragraph" w:customStyle="1" w:styleId="22">
    <w:name w:val="p0"/>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3">
    <w:name w:val="Body text|1"/>
    <w:basedOn w:val="1"/>
    <w:autoRedefine/>
    <w:qFormat/>
    <w:uiPriority w:val="0"/>
    <w:pPr>
      <w:spacing w:line="439" w:lineRule="auto"/>
      <w:ind w:firstLine="400"/>
    </w:pPr>
    <w:rPr>
      <w:rFonts w:ascii="宋体" w:hAnsi="宋体" w:eastAsia="宋体" w:cs="宋体"/>
      <w:color w:val="auto"/>
      <w:kern w:val="2"/>
      <w:sz w:val="30"/>
      <w:szCs w:val="30"/>
      <w:lang w:val="zh-TW" w:eastAsia="zh-TW" w:bidi="zh-TW"/>
    </w:rPr>
  </w:style>
  <w:style w:type="paragraph" w:styleId="24">
    <w:name w:val="List Paragraph"/>
    <w:basedOn w:val="1"/>
    <w:autoRedefine/>
    <w:qFormat/>
    <w:uiPriority w:val="99"/>
    <w:pPr>
      <w:ind w:firstLine="420" w:firstLineChars="200"/>
    </w:pPr>
    <w:rPr>
      <w:rFonts w:eastAsia="宋体" w:cs="Times New Roman"/>
      <w:szCs w:val="22"/>
    </w:rPr>
  </w:style>
  <w:style w:type="character" w:customStyle="1" w:styleId="25">
    <w:name w:val="NormalCharacter"/>
    <w:link w:val="26"/>
    <w:autoRedefine/>
    <w:semiHidden/>
    <w:qFormat/>
    <w:uiPriority w:val="0"/>
    <w:rPr>
      <w:rFonts w:ascii="Verdana" w:hAnsi="Verdana"/>
      <w:kern w:val="0"/>
      <w:sz w:val="20"/>
      <w:szCs w:val="20"/>
      <w:lang w:eastAsia="en-US"/>
    </w:rPr>
  </w:style>
  <w:style w:type="paragraph" w:customStyle="1" w:styleId="26">
    <w:name w:val="UserStyle_0"/>
    <w:basedOn w:val="1"/>
    <w:link w:val="25"/>
    <w:autoRedefine/>
    <w:semiHidden/>
    <w:qFormat/>
    <w:uiPriority w:val="0"/>
    <w:pPr>
      <w:widowControl/>
      <w:spacing w:after="160" w:line="240" w:lineRule="exact"/>
      <w:jc w:val="left"/>
      <w:textAlignment w:val="baseline"/>
    </w:pPr>
    <w:rPr>
      <w:rFonts w:ascii="Verdana" w:hAnsi="Verdana"/>
      <w:kern w:val="0"/>
      <w:sz w:val="20"/>
      <w:szCs w:val="20"/>
      <w:lang w:eastAsia="en-US"/>
    </w:rPr>
  </w:style>
  <w:style w:type="paragraph" w:customStyle="1" w:styleId="27">
    <w:name w:val="正文文本1"/>
    <w:basedOn w:val="1"/>
    <w:autoRedefine/>
    <w:qFormat/>
    <w:uiPriority w:val="0"/>
    <w:pPr>
      <w:autoSpaceDE w:val="0"/>
      <w:autoSpaceDN w:val="0"/>
      <w:ind w:left="100"/>
      <w:jc w:val="left"/>
    </w:pPr>
    <w:rPr>
      <w:rFonts w:ascii="PMingLiU" w:hAnsi="PMingLiU" w:eastAsia="PMingLiU"/>
      <w:kern w:val="0"/>
      <w:sz w:val="28"/>
      <w:szCs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5250</Words>
  <Characters>5296</Characters>
  <Lines>0</Lines>
  <Paragraphs>0</Paragraphs>
  <TotalTime>39</TotalTime>
  <ScaleCrop>false</ScaleCrop>
  <LinksUpToDate>false</LinksUpToDate>
  <CharactersWithSpaces>5396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2022-11-11T07:12:00Z</dcterms:created>
  <dc:creator>嘀嗒嘀嗒</dc:creator>
  <cp:lastModifiedBy>长风</cp:lastModifiedBy>
  <cp:lastPrinted>2025-08-12T08:01:00Z</cp:lastPrinted>
  <dcterms:modified xsi:type="dcterms:W3CDTF">2025-11-10T02:10:33Z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C7DA86F93CE844D2951142E702D1C86D_13</vt:lpwstr>
  </property>
  <property fmtid="{D5CDD505-2E9C-101B-9397-08002B2CF9AE}" pid="4" name="KSOTemplateDocerSaveRecord">
    <vt:lpwstr>eyJoZGlkIjoiMGEyMTBmOTNiNmU3MmU2ZDZjOGVmMjJmNzVhYzk3MzAiLCJ1c2VySWQiOiI2OTc5MDE2NDYifQ==</vt:lpwstr>
  </property>
</Properties>
</file>