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outlineLvl w:val="9"/>
        <w:rPr>
          <w:rFonts w:hint="eastAsia"/>
          <w:color w:val="auto"/>
          <w:u w:val="none"/>
          <w:lang w:eastAsia="zh-CN"/>
        </w:rPr>
      </w:pP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64"/>
          <w:szCs w:val="64"/>
          <w:u w:val="none"/>
          <w:lang w:eastAsia="zh-CN"/>
        </w:rPr>
      </w:pPr>
      <w:r>
        <w:rPr>
          <w:rFonts w:hint="eastAsia" w:ascii="方正小标宋简体" w:hAnsi="方正小标宋简体" w:eastAsia="方正小标宋简体" w:cs="方正小标宋简体"/>
          <w:b w:val="0"/>
          <w:bCs w:val="0"/>
          <w:color w:val="auto"/>
          <w:sz w:val="64"/>
          <w:szCs w:val="64"/>
          <w:u w:val="none"/>
          <w:lang w:eastAsia="zh-CN"/>
        </w:rPr>
        <w:t>重庆社会救助基金会救助</w:t>
      </w: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64"/>
          <w:szCs w:val="64"/>
          <w:u w:val="none"/>
          <w:lang w:eastAsia="zh-CN"/>
        </w:rPr>
      </w:pPr>
      <w:r>
        <w:rPr>
          <w:rFonts w:hint="eastAsia" w:ascii="方正小标宋简体" w:hAnsi="方正小标宋简体" w:eastAsia="方正小标宋简体" w:cs="方正小标宋简体"/>
          <w:b w:val="0"/>
          <w:bCs w:val="0"/>
          <w:color w:val="auto"/>
          <w:sz w:val="64"/>
          <w:szCs w:val="64"/>
          <w:u w:val="none"/>
          <w:lang w:eastAsia="zh-CN"/>
        </w:rPr>
        <w:t>项目第三方评估报告</w:t>
      </w:r>
    </w:p>
    <w:p>
      <w:pPr>
        <w:jc w:val="center"/>
        <w:rPr>
          <w:rFonts w:hint="eastAsia" w:ascii="方正小标宋_GBK" w:hAnsi="方正小标宋_GBK" w:eastAsia="方正小标宋_GBK" w:cs="方正小标宋_GBK"/>
          <w:b w:val="0"/>
          <w:bCs w:val="0"/>
          <w:color w:val="auto"/>
          <w:sz w:val="44"/>
          <w:szCs w:val="44"/>
          <w:u w:val="none"/>
          <w:lang w:eastAsia="zh-CN"/>
        </w:rPr>
      </w:pPr>
    </w:p>
    <w:p>
      <w:pPr>
        <w:tabs>
          <w:tab w:val="left" w:pos="5496"/>
        </w:tabs>
        <w:jc w:val="left"/>
        <w:rPr>
          <w:rFonts w:hint="eastAsia" w:ascii="仿宋" w:hAnsi="仿宋" w:eastAsia="仿宋" w:cs="仿宋"/>
          <w:b/>
          <w:bCs/>
          <w:color w:val="auto"/>
          <w:sz w:val="32"/>
          <w:szCs w:val="32"/>
          <w:u w:val="none"/>
          <w:lang w:eastAsia="zh-CN"/>
        </w:rPr>
      </w:pPr>
      <w:r>
        <w:rPr>
          <w:rFonts w:hint="eastAsia" w:ascii="仿宋" w:hAnsi="仿宋" w:eastAsia="仿宋" w:cs="仿宋"/>
          <w:b/>
          <w:bCs/>
          <w:color w:val="auto"/>
          <w:sz w:val="32"/>
          <w:szCs w:val="32"/>
          <w:u w:val="none"/>
          <w:lang w:eastAsia="zh-CN"/>
        </w:rPr>
        <w:tab/>
      </w:r>
    </w:p>
    <w:p>
      <w:pPr>
        <w:jc w:val="center"/>
        <w:rPr>
          <w:rFonts w:hint="eastAsia" w:ascii="仿宋" w:hAnsi="仿宋" w:eastAsia="仿宋" w:cs="仿宋"/>
          <w:b/>
          <w:bCs/>
          <w:color w:val="auto"/>
          <w:sz w:val="32"/>
          <w:szCs w:val="32"/>
          <w:u w:val="none"/>
          <w:lang w:eastAsia="zh-CN"/>
        </w:rPr>
      </w:pPr>
    </w:p>
    <w:p>
      <w:pPr>
        <w:jc w:val="center"/>
        <w:rPr>
          <w:rFonts w:hint="eastAsia" w:ascii="仿宋" w:hAnsi="仿宋" w:eastAsia="仿宋" w:cs="仿宋"/>
          <w:b/>
          <w:bCs/>
          <w:color w:val="auto"/>
          <w:sz w:val="32"/>
          <w:szCs w:val="32"/>
          <w:u w:val="none"/>
          <w:lang w:eastAsia="zh-CN"/>
        </w:rPr>
      </w:pPr>
    </w:p>
    <w:p>
      <w:pPr>
        <w:jc w:val="center"/>
        <w:rPr>
          <w:rFonts w:hint="eastAsia" w:ascii="仿宋" w:hAnsi="仿宋" w:eastAsia="仿宋" w:cs="仿宋"/>
          <w:b/>
          <w:bCs/>
          <w:color w:val="auto"/>
          <w:sz w:val="32"/>
          <w:szCs w:val="32"/>
          <w:u w:val="none"/>
          <w:lang w:eastAsia="zh-CN"/>
        </w:rPr>
      </w:pPr>
    </w:p>
    <w:p>
      <w:pPr>
        <w:ind w:left="1603" w:leftChars="306" w:hanging="960" w:hangingChars="300"/>
        <w:jc w:val="left"/>
        <w:rPr>
          <w:rFonts w:hint="default" w:ascii="方正小标宋简体" w:hAnsi="方正小标宋简体" w:eastAsia="方正小标宋简体" w:cs="方正小标宋简体"/>
          <w:b w:val="0"/>
          <w:bCs w:val="0"/>
          <w:color w:val="auto"/>
          <w:sz w:val="32"/>
          <w:szCs w:val="32"/>
          <w:u w:val="none"/>
          <w:lang w:val="en-US" w:eastAsia="zh-CN"/>
        </w:rPr>
      </w:pPr>
      <w:r>
        <w:rPr>
          <w:rFonts w:hint="eastAsia" w:ascii="方正小标宋简体" w:hAnsi="方正小标宋简体" w:eastAsia="方正小标宋简体" w:cs="方正小标宋简体"/>
          <w:b w:val="0"/>
          <w:bCs w:val="0"/>
          <w:color w:val="auto"/>
          <w:sz w:val="32"/>
          <w:szCs w:val="32"/>
          <w:u w:val="none"/>
          <w:lang w:val="en-US" w:eastAsia="zh-CN"/>
        </w:rPr>
        <w:t xml:space="preserve">  </w:t>
      </w:r>
      <w:r>
        <w:rPr>
          <w:rFonts w:hint="eastAsia" w:ascii="方正小标宋简体" w:hAnsi="方正小标宋简体" w:eastAsia="方正小标宋简体" w:cs="方正小标宋简体"/>
          <w:b w:val="0"/>
          <w:bCs w:val="0"/>
          <w:color w:val="auto"/>
          <w:sz w:val="32"/>
          <w:szCs w:val="32"/>
          <w:u w:val="none"/>
          <w:lang w:eastAsia="zh-CN"/>
        </w:rPr>
        <w:t>报告主题：</w:t>
      </w:r>
      <w:r>
        <w:rPr>
          <w:rFonts w:hint="eastAsia" w:ascii="方正小标宋简体" w:hAnsi="方正小标宋简体" w:eastAsia="方正小标宋简体" w:cs="方正小标宋简体"/>
          <w:b w:val="0"/>
          <w:bCs w:val="0"/>
          <w:color w:val="auto"/>
          <w:sz w:val="32"/>
          <w:szCs w:val="32"/>
          <w:u w:val="none"/>
          <w:lang w:val="en-US" w:eastAsia="zh-CN"/>
        </w:rPr>
        <w:t xml:space="preserve"> </w:t>
      </w:r>
      <w:r>
        <w:rPr>
          <w:rFonts w:hint="eastAsia" w:ascii="方正小标宋简体" w:hAnsi="方正小标宋简体" w:eastAsia="方正小标宋简体" w:cs="方正小标宋简体"/>
          <w:b w:val="0"/>
          <w:bCs w:val="0"/>
          <w:color w:val="auto"/>
          <w:sz w:val="32"/>
          <w:szCs w:val="32"/>
          <w:u w:val="none"/>
          <w:lang w:eastAsia="zh-CN"/>
        </w:rPr>
        <w:t>社会救急助难的生动实</w:t>
      </w:r>
      <w:r>
        <w:rPr>
          <w:rFonts w:hint="eastAsia" w:ascii="方正小标宋简体" w:hAnsi="方正小标宋简体" w:eastAsia="方正小标宋简体" w:cs="方正小标宋简体"/>
          <w:b w:val="0"/>
          <w:bCs w:val="0"/>
          <w:color w:val="auto"/>
          <w:sz w:val="32"/>
          <w:szCs w:val="32"/>
          <w:u w:val="none"/>
          <w:lang w:val="en-US" w:eastAsia="zh-CN"/>
        </w:rPr>
        <w:t xml:space="preserve">践   </w:t>
      </w:r>
      <w:r>
        <w:rPr>
          <w:rFonts w:hint="eastAsia" w:ascii="方正小标宋简体" w:hAnsi="方正小标宋简体" w:eastAsia="方正小标宋简体" w:cs="方正小标宋简体"/>
          <w:b w:val="0"/>
          <w:bCs w:val="0"/>
          <w:i w:val="0"/>
          <w:iCs w:val="0"/>
          <w:color w:val="auto"/>
          <w:sz w:val="32"/>
          <w:szCs w:val="32"/>
          <w:u w:val="none"/>
          <w:lang w:val="en-US" w:eastAsia="zh-CN"/>
        </w:rPr>
        <w:t xml:space="preserve"> </w:t>
      </w:r>
      <w:r>
        <w:rPr>
          <w:rFonts w:hint="eastAsia" w:ascii="方正小标宋简体" w:hAnsi="方正小标宋简体" w:eastAsia="方正小标宋简体" w:cs="方正小标宋简体"/>
          <w:b w:val="0"/>
          <w:bCs w:val="0"/>
          <w:color w:val="auto"/>
          <w:sz w:val="32"/>
          <w:szCs w:val="32"/>
          <w:u w:val="none"/>
          <w:lang w:val="en-US" w:eastAsia="zh-CN"/>
        </w:rPr>
        <w:t xml:space="preserve">                </w:t>
      </w:r>
    </w:p>
    <w:p>
      <w:pPr>
        <w:ind w:firstLine="640"/>
        <w:jc w:val="left"/>
        <w:rPr>
          <w:rFonts w:hint="eastAsia" w:ascii="方正小标宋简体" w:hAnsi="方正小标宋简体" w:eastAsia="方正小标宋简体" w:cs="方正小标宋简体"/>
          <w:b w:val="0"/>
          <w:bCs w:val="0"/>
          <w:color w:val="auto"/>
          <w:sz w:val="32"/>
          <w:szCs w:val="32"/>
          <w:u w:val="none"/>
          <w:lang w:val="en-US" w:eastAsia="zh-CN"/>
        </w:rPr>
      </w:pPr>
      <w:r>
        <w:rPr>
          <w:rFonts w:hint="eastAsia" w:ascii="方正小标宋简体" w:hAnsi="方正小标宋简体" w:eastAsia="方正小标宋简体" w:cs="方正小标宋简体"/>
          <w:b w:val="0"/>
          <w:bCs w:val="0"/>
          <w:color w:val="auto"/>
          <w:sz w:val="32"/>
          <w:szCs w:val="32"/>
          <w:u w:val="none"/>
          <w:lang w:val="en-US" w:eastAsia="zh-CN"/>
        </w:rPr>
        <w:t xml:space="preserve">  评估单位：    重庆理工大学</w:t>
      </w:r>
      <w:r>
        <w:rPr>
          <w:rFonts w:hint="eastAsia" w:ascii="方正小标宋简体" w:hAnsi="方正小标宋简体" w:eastAsia="方正小标宋简体" w:cs="方正小标宋简体"/>
          <w:b w:val="0"/>
          <w:bCs w:val="0"/>
          <w:i w:val="0"/>
          <w:iCs w:val="0"/>
          <w:color w:val="auto"/>
          <w:sz w:val="32"/>
          <w:szCs w:val="32"/>
          <w:u w:val="none"/>
          <w:lang w:val="en-US" w:eastAsia="zh-CN"/>
        </w:rPr>
        <w:t xml:space="preserve">           </w:t>
      </w:r>
    </w:p>
    <w:p>
      <w:pPr>
        <w:ind w:firstLine="640"/>
        <w:jc w:val="left"/>
        <w:rPr>
          <w:rFonts w:hint="eastAsia" w:ascii="方正小标宋简体" w:hAnsi="方正小标宋简体" w:eastAsia="方正小标宋简体" w:cs="方正小标宋简体"/>
          <w:b w:val="0"/>
          <w:bCs w:val="0"/>
          <w:i w:val="0"/>
          <w:iCs w:val="0"/>
          <w:color w:val="auto"/>
          <w:sz w:val="32"/>
          <w:szCs w:val="32"/>
          <w:u w:val="none"/>
          <w:lang w:val="en-US" w:eastAsia="zh-CN"/>
        </w:rPr>
      </w:pPr>
      <w:r>
        <w:rPr>
          <w:rFonts w:hint="eastAsia" w:ascii="方正小标宋简体" w:hAnsi="方正小标宋简体" w:eastAsia="方正小标宋简体" w:cs="方正小标宋简体"/>
          <w:b w:val="0"/>
          <w:bCs w:val="0"/>
          <w:color w:val="auto"/>
          <w:sz w:val="32"/>
          <w:szCs w:val="32"/>
          <w:u w:val="none"/>
          <w:lang w:val="en-US" w:eastAsia="zh-CN"/>
        </w:rPr>
        <w:t xml:space="preserve">  </w:t>
      </w:r>
      <w:bookmarkStart w:id="48" w:name="_GoBack"/>
      <w:bookmarkEnd w:id="48"/>
      <w:r>
        <w:rPr>
          <w:rFonts w:hint="eastAsia" w:ascii="方正小标宋简体" w:hAnsi="方正小标宋简体" w:eastAsia="方正小标宋简体" w:cs="方正小标宋简体"/>
          <w:b w:val="0"/>
          <w:bCs w:val="0"/>
          <w:color w:val="auto"/>
          <w:sz w:val="32"/>
          <w:szCs w:val="32"/>
          <w:u w:val="none"/>
          <w:lang w:eastAsia="zh-CN"/>
        </w:rPr>
        <w:t>报告执笔：</w:t>
      </w:r>
      <w:r>
        <w:rPr>
          <w:rFonts w:hint="eastAsia" w:ascii="方正小标宋简体" w:hAnsi="方正小标宋简体" w:eastAsia="方正小标宋简体" w:cs="方正小标宋简体"/>
          <w:b w:val="0"/>
          <w:bCs w:val="0"/>
          <w:color w:val="auto"/>
          <w:sz w:val="32"/>
          <w:szCs w:val="32"/>
          <w:u w:val="none"/>
          <w:lang w:val="en-US" w:eastAsia="zh-CN"/>
        </w:rPr>
        <w:t xml:space="preserve">    </w:t>
      </w:r>
      <w:r>
        <w:rPr>
          <w:rFonts w:hint="eastAsia" w:ascii="方正小标宋简体" w:hAnsi="方正小标宋简体" w:eastAsia="方正小标宋简体" w:cs="方正小标宋简体"/>
          <w:b w:val="0"/>
          <w:bCs w:val="0"/>
          <w:color w:val="auto"/>
          <w:sz w:val="32"/>
          <w:szCs w:val="32"/>
          <w:u w:val="none"/>
          <w:lang w:eastAsia="zh-CN"/>
        </w:rPr>
        <w:t>张</w:t>
      </w:r>
      <w:r>
        <w:rPr>
          <w:rFonts w:hint="eastAsia" w:ascii="方正小标宋简体" w:hAnsi="方正小标宋简体" w:eastAsia="方正小标宋简体" w:cs="方正小标宋简体"/>
          <w:b w:val="0"/>
          <w:bCs w:val="0"/>
          <w:color w:val="auto"/>
          <w:sz w:val="32"/>
          <w:szCs w:val="32"/>
          <w:u w:val="none"/>
          <w:lang w:val="en-US" w:eastAsia="zh-CN"/>
        </w:rPr>
        <w:t xml:space="preserve"> </w:t>
      </w:r>
      <w:r>
        <w:rPr>
          <w:rFonts w:hint="eastAsia" w:ascii="方正小标宋简体" w:hAnsi="方正小标宋简体" w:eastAsia="方正小标宋简体" w:cs="方正小标宋简体"/>
          <w:b w:val="0"/>
          <w:bCs w:val="0"/>
          <w:color w:val="auto"/>
          <w:sz w:val="32"/>
          <w:szCs w:val="32"/>
          <w:u w:val="none"/>
          <w:lang w:eastAsia="zh-CN"/>
        </w:rPr>
        <w:t>恒</w:t>
      </w:r>
      <w:r>
        <w:rPr>
          <w:rFonts w:hint="eastAsia" w:ascii="方正小标宋简体" w:hAnsi="方正小标宋简体" w:eastAsia="方正小标宋简体" w:cs="方正小标宋简体"/>
          <w:b w:val="0"/>
          <w:bCs w:val="0"/>
          <w:color w:val="auto"/>
          <w:sz w:val="32"/>
          <w:szCs w:val="32"/>
          <w:u w:val="none"/>
          <w:lang w:val="en-US" w:eastAsia="zh-CN"/>
        </w:rPr>
        <w:t xml:space="preserve">   </w:t>
      </w:r>
      <w:r>
        <w:rPr>
          <w:rFonts w:hint="eastAsia" w:ascii="方正小标宋简体" w:hAnsi="方正小标宋简体" w:eastAsia="方正小标宋简体" w:cs="方正小标宋简体"/>
          <w:b w:val="0"/>
          <w:bCs w:val="0"/>
          <w:color w:val="auto"/>
          <w:sz w:val="32"/>
          <w:szCs w:val="32"/>
          <w:u w:val="none"/>
          <w:lang w:eastAsia="zh-CN"/>
        </w:rPr>
        <w:t>糜</w:t>
      </w:r>
      <w:r>
        <w:rPr>
          <w:rFonts w:hint="eastAsia" w:ascii="方正小标宋简体" w:hAnsi="方正小标宋简体" w:eastAsia="方正小标宋简体" w:cs="方正小标宋简体"/>
          <w:b w:val="0"/>
          <w:bCs w:val="0"/>
          <w:color w:val="auto"/>
          <w:sz w:val="32"/>
          <w:szCs w:val="32"/>
          <w:u w:val="none"/>
          <w:lang w:val="en-US" w:eastAsia="zh-CN"/>
        </w:rPr>
        <w:t xml:space="preserve"> </w:t>
      </w:r>
      <w:r>
        <w:rPr>
          <w:rFonts w:hint="eastAsia" w:ascii="方正小标宋简体" w:hAnsi="方正小标宋简体" w:eastAsia="方正小标宋简体" w:cs="方正小标宋简体"/>
          <w:b w:val="0"/>
          <w:bCs w:val="0"/>
          <w:color w:val="auto"/>
          <w:sz w:val="32"/>
          <w:szCs w:val="32"/>
          <w:u w:val="none"/>
          <w:lang w:eastAsia="zh-CN"/>
        </w:rPr>
        <w:t>薇</w:t>
      </w:r>
      <w:r>
        <w:rPr>
          <w:rFonts w:hint="eastAsia" w:ascii="方正小标宋简体" w:hAnsi="方正小标宋简体" w:eastAsia="方正小标宋简体" w:cs="方正小标宋简体"/>
          <w:b w:val="0"/>
          <w:bCs w:val="0"/>
          <w:i w:val="0"/>
          <w:iCs w:val="0"/>
          <w:color w:val="auto"/>
          <w:sz w:val="32"/>
          <w:szCs w:val="32"/>
          <w:u w:val="none"/>
          <w:lang w:val="en-US" w:eastAsia="zh-CN"/>
        </w:rPr>
        <w:t xml:space="preserve">          </w:t>
      </w:r>
    </w:p>
    <w:p>
      <w:pPr>
        <w:ind w:firstLine="640"/>
        <w:jc w:val="left"/>
        <w:rPr>
          <w:rFonts w:hint="eastAsia" w:ascii="方正仿宋_GBK" w:hAnsi="方正仿宋_GBK" w:eastAsia="方正仿宋_GBK" w:cs="方正仿宋_GBK"/>
          <w:b w:val="0"/>
          <w:bCs w:val="0"/>
          <w:color w:val="auto"/>
          <w:sz w:val="32"/>
          <w:szCs w:val="32"/>
          <w:u w:val="none"/>
          <w:lang w:val="en-US" w:eastAsia="zh-CN"/>
        </w:rPr>
      </w:pPr>
    </w:p>
    <w:p>
      <w:pPr>
        <w:ind w:firstLine="640"/>
        <w:jc w:val="left"/>
        <w:rPr>
          <w:rFonts w:hint="eastAsia" w:ascii="方正仿宋_GBK" w:hAnsi="方正仿宋_GBK" w:eastAsia="方正仿宋_GBK" w:cs="方正仿宋_GBK"/>
          <w:b w:val="0"/>
          <w:bCs w:val="0"/>
          <w:color w:val="auto"/>
          <w:sz w:val="32"/>
          <w:szCs w:val="32"/>
          <w:u w:val="none"/>
          <w:lang w:val="en-US" w:eastAsia="zh-CN"/>
        </w:rPr>
      </w:pPr>
    </w:p>
    <w:p>
      <w:pPr>
        <w:ind w:firstLine="640"/>
        <w:jc w:val="left"/>
        <w:rPr>
          <w:rFonts w:hint="eastAsia" w:ascii="方正仿宋_GBK" w:hAnsi="方正仿宋_GBK" w:eastAsia="方正仿宋_GBK" w:cs="方正仿宋_GBK"/>
          <w:b w:val="0"/>
          <w:bCs w:val="0"/>
          <w:color w:val="auto"/>
          <w:sz w:val="32"/>
          <w:szCs w:val="32"/>
          <w:u w:val="none"/>
          <w:lang w:val="en-US" w:eastAsia="zh-CN"/>
        </w:rPr>
      </w:pPr>
    </w:p>
    <w:p>
      <w:pPr>
        <w:jc w:val="both"/>
        <w:rPr>
          <w:rFonts w:hint="eastAsia" w:ascii="方正小标宋简体" w:hAnsi="方正小标宋简体" w:eastAsia="方正小标宋简体" w:cs="方正小标宋简体"/>
          <w:b/>
          <w:bCs/>
          <w:color w:val="auto"/>
          <w:sz w:val="32"/>
          <w:szCs w:val="32"/>
          <w:u w:val="none"/>
          <w:lang w:val="en-US" w:eastAsia="zh-CN"/>
        </w:rPr>
      </w:pPr>
    </w:p>
    <w:p>
      <w:pPr>
        <w:jc w:val="both"/>
        <w:rPr>
          <w:rFonts w:hint="eastAsia" w:ascii="方正小标宋简体" w:hAnsi="方正小标宋简体" w:eastAsia="方正小标宋简体" w:cs="方正小标宋简体"/>
          <w:b w:val="0"/>
          <w:bCs w:val="0"/>
          <w:color w:val="auto"/>
          <w:sz w:val="32"/>
          <w:szCs w:val="32"/>
          <w:u w:val="none"/>
          <w:lang w:val="en-US" w:eastAsia="zh-CN"/>
        </w:rPr>
      </w:pPr>
      <w:r>
        <w:rPr>
          <w:rFonts w:hint="eastAsia" w:ascii="方正小标宋简体" w:hAnsi="方正小标宋简体" w:eastAsia="方正小标宋简体" w:cs="方正小标宋简体"/>
          <w:b/>
          <w:bCs/>
          <w:color w:val="auto"/>
          <w:sz w:val="32"/>
          <w:szCs w:val="32"/>
          <w:u w:val="none"/>
          <w:lang w:val="en-US" w:eastAsia="zh-CN"/>
        </w:rPr>
        <w:t xml:space="preserve">             </w:t>
      </w:r>
      <w:r>
        <w:rPr>
          <w:rFonts w:hint="eastAsia" w:ascii="方正小标宋简体" w:hAnsi="方正小标宋简体" w:eastAsia="方正小标宋简体" w:cs="方正小标宋简体"/>
          <w:b w:val="0"/>
          <w:bCs w:val="0"/>
          <w:color w:val="auto"/>
          <w:sz w:val="32"/>
          <w:szCs w:val="32"/>
          <w:u w:val="none"/>
          <w:lang w:val="en-US" w:eastAsia="zh-CN"/>
        </w:rPr>
        <w:t xml:space="preserve">  2021年9月19日</w:t>
      </w:r>
    </w:p>
    <w:p>
      <w:pPr>
        <w:rPr>
          <w:rFonts w:hint="eastAsia"/>
          <w:color w:val="auto"/>
          <w:u w:val="none"/>
          <w:lang w:val="en-US" w:eastAsia="zh-CN"/>
        </w:rPr>
      </w:pPr>
      <w:r>
        <w:rPr>
          <w:rFonts w:hint="eastAsia" w:ascii="方正小标宋简体" w:hAnsi="方正小标宋简体" w:eastAsia="方正小标宋简体" w:cs="方正小标宋简体"/>
          <w:b w:val="0"/>
          <w:bCs w:val="0"/>
          <w:color w:val="auto"/>
          <w:sz w:val="32"/>
          <w:szCs w:val="32"/>
          <w:u w:val="none"/>
          <w:lang w:val="en-US" w:eastAsia="zh-CN"/>
        </w:rPr>
        <w:br w:type="page"/>
      </w:r>
    </w:p>
    <w:p>
      <w:pPr>
        <w:spacing w:before="0" w:after="0" w:line="240" w:lineRule="auto"/>
        <w:ind w:left="0" w:leftChars="0" w:right="0" w:rightChars="0" w:firstLine="0" w:firstLineChars="0"/>
        <w:jc w:val="center"/>
        <w:rPr>
          <w:rFonts w:hint="eastAsia" w:ascii="方正小标宋简体" w:hAnsi="方正小标宋简体" w:eastAsia="方正小标宋简体" w:cs="方正小标宋简体"/>
          <w:color w:val="auto"/>
          <w:u w:val="none"/>
        </w:rPr>
      </w:pPr>
      <w:r>
        <w:rPr>
          <w:rFonts w:hint="eastAsia" w:ascii="方正小标宋简体" w:hAnsi="方正小标宋简体" w:eastAsia="方正小标宋简体" w:cs="方正小标宋简体"/>
          <w:color w:val="auto"/>
          <w:sz w:val="21"/>
          <w:u w:val="none"/>
        </w:rPr>
        <w:t>目录</w:t>
      </w:r>
    </w:p>
    <w:p>
      <w:pPr>
        <w:pStyle w:val="23"/>
        <w:tabs>
          <w:tab w:val="right" w:leader="dot" w:pos="8306"/>
        </w:tabs>
        <w:rPr>
          <w:rFonts w:hint="eastAsia" w:ascii="方正小标宋简体" w:hAnsi="方正小标宋简体" w:eastAsia="方正小标宋简体" w:cs="方正小标宋简体"/>
          <w:color w:val="auto"/>
          <w:u w:val="none"/>
        </w:rPr>
      </w:pPr>
      <w:r>
        <w:rPr>
          <w:rFonts w:hint="eastAsia" w:ascii="方正小标宋简体" w:hAnsi="方正小标宋简体" w:eastAsia="方正小标宋简体" w:cs="方正小标宋简体"/>
          <w:color w:val="auto"/>
          <w:u w:val="none"/>
          <w:lang w:val="en-US" w:eastAsia="zh-CN"/>
        </w:rPr>
        <w:fldChar w:fldCharType="begin"/>
      </w:r>
      <w:r>
        <w:rPr>
          <w:rFonts w:hint="eastAsia" w:ascii="方正小标宋简体" w:hAnsi="方正小标宋简体" w:eastAsia="方正小标宋简体" w:cs="方正小标宋简体"/>
          <w:color w:val="auto"/>
          <w:u w:val="none"/>
          <w:lang w:val="en-US" w:eastAsia="zh-CN"/>
        </w:rPr>
        <w:instrText xml:space="preserve">TOC \o "1-3" \h \u </w:instrText>
      </w:r>
      <w:r>
        <w:rPr>
          <w:rFonts w:hint="eastAsia" w:ascii="方正小标宋简体" w:hAnsi="方正小标宋简体" w:eastAsia="方正小标宋简体" w:cs="方正小标宋简体"/>
          <w:color w:val="auto"/>
          <w:u w:val="none"/>
          <w:lang w:val="en-US" w:eastAsia="zh-CN"/>
        </w:rPr>
        <w:fldChar w:fldCharType="separate"/>
      </w:r>
      <w:r>
        <w:rPr>
          <w:rFonts w:hint="eastAsia" w:ascii="方正小标宋简体" w:hAnsi="方正小标宋简体" w:eastAsia="方正小标宋简体" w:cs="方正小标宋简体"/>
          <w:color w:val="auto"/>
          <w:u w:val="none"/>
          <w:lang w:val="en-US" w:eastAsia="zh-CN"/>
        </w:rPr>
        <w:fldChar w:fldCharType="begin"/>
      </w:r>
      <w:r>
        <w:rPr>
          <w:rFonts w:hint="eastAsia" w:ascii="方正小标宋简体" w:hAnsi="方正小标宋简体" w:eastAsia="方正小标宋简体" w:cs="方正小标宋简体"/>
          <w:color w:val="auto"/>
          <w:u w:val="none"/>
          <w:lang w:val="en-US" w:eastAsia="zh-CN"/>
        </w:rPr>
        <w:instrText xml:space="preserve"> HYPERLINK \l _Toc21675 </w:instrText>
      </w:r>
      <w:r>
        <w:rPr>
          <w:rFonts w:hint="eastAsia" w:ascii="方正小标宋简体" w:hAnsi="方正小标宋简体" w:eastAsia="方正小标宋简体" w:cs="方正小标宋简体"/>
          <w:color w:val="auto"/>
          <w:u w:val="none"/>
          <w:lang w:val="en-US" w:eastAsia="zh-CN"/>
        </w:rPr>
        <w:fldChar w:fldCharType="separate"/>
      </w:r>
      <w:r>
        <w:rPr>
          <w:rFonts w:hint="eastAsia" w:ascii="方正小标宋简体" w:hAnsi="方正小标宋简体" w:eastAsia="方正小标宋简体" w:cs="方正小标宋简体"/>
          <w:color w:val="auto"/>
          <w:szCs w:val="52"/>
          <w:u w:val="none"/>
          <w:lang w:val="en-US" w:eastAsia="zh-CN"/>
        </w:rPr>
        <w:t>前 言</w:t>
      </w:r>
      <w:r>
        <w:rPr>
          <w:rFonts w:hint="eastAsia" w:ascii="方正小标宋简体" w:hAnsi="方正小标宋简体" w:eastAsia="方正小标宋简体" w:cs="方正小标宋简体"/>
          <w:color w:val="auto"/>
          <w:u w:val="none"/>
        </w:rPr>
        <w:tab/>
      </w:r>
      <w:r>
        <w:rPr>
          <w:rFonts w:hint="eastAsia" w:ascii="方正小标宋简体" w:hAnsi="方正小标宋简体" w:eastAsia="方正小标宋简体" w:cs="方正小标宋简体"/>
          <w:color w:val="auto"/>
          <w:u w:val="none"/>
        </w:rPr>
        <w:fldChar w:fldCharType="begin"/>
      </w:r>
      <w:r>
        <w:rPr>
          <w:rFonts w:hint="eastAsia" w:ascii="方正小标宋简体" w:hAnsi="方正小标宋简体" w:eastAsia="方正小标宋简体" w:cs="方正小标宋简体"/>
          <w:color w:val="auto"/>
          <w:u w:val="none"/>
        </w:rPr>
        <w:instrText xml:space="preserve"> PAGEREF _Toc21675 \h </w:instrText>
      </w:r>
      <w:r>
        <w:rPr>
          <w:rFonts w:hint="eastAsia" w:ascii="方正小标宋简体" w:hAnsi="方正小标宋简体" w:eastAsia="方正小标宋简体" w:cs="方正小标宋简体"/>
          <w:color w:val="auto"/>
          <w:u w:val="none"/>
        </w:rPr>
        <w:fldChar w:fldCharType="separate"/>
      </w:r>
      <w:r>
        <w:rPr>
          <w:rFonts w:hint="eastAsia" w:ascii="方正小标宋简体" w:hAnsi="方正小标宋简体" w:eastAsia="方正小标宋简体" w:cs="方正小标宋简体"/>
          <w:color w:val="auto"/>
          <w:u w:val="none"/>
        </w:rPr>
        <w:t>3</w:t>
      </w:r>
      <w:r>
        <w:rPr>
          <w:rFonts w:hint="eastAsia" w:ascii="方正小标宋简体" w:hAnsi="方正小标宋简体" w:eastAsia="方正小标宋简体" w:cs="方正小标宋简体"/>
          <w:color w:val="auto"/>
          <w:u w:val="none"/>
        </w:rPr>
        <w:fldChar w:fldCharType="end"/>
      </w:r>
      <w:r>
        <w:rPr>
          <w:rFonts w:hint="eastAsia" w:ascii="方正小标宋简体" w:hAnsi="方正小标宋简体" w:eastAsia="方正小标宋简体" w:cs="方正小标宋简体"/>
          <w:color w:val="auto"/>
          <w:u w:val="none"/>
          <w:lang w:val="en-US" w:eastAsia="zh-CN"/>
        </w:rPr>
        <w:fldChar w:fldCharType="end"/>
      </w:r>
    </w:p>
    <w:p>
      <w:pPr>
        <w:pStyle w:val="23"/>
        <w:tabs>
          <w:tab w:val="right" w:leader="dot" w:pos="8306"/>
        </w:tabs>
        <w:rPr>
          <w:rFonts w:hint="eastAsia" w:ascii="方正小标宋简体" w:hAnsi="方正小标宋简体" w:eastAsia="方正小标宋简体" w:cs="方正小标宋简体"/>
          <w:color w:val="auto"/>
          <w:u w:val="none"/>
        </w:rPr>
      </w:pPr>
      <w:r>
        <w:rPr>
          <w:rFonts w:hint="eastAsia" w:ascii="方正小标宋简体" w:hAnsi="方正小标宋简体" w:eastAsia="方正小标宋简体" w:cs="方正小标宋简体"/>
          <w:color w:val="auto"/>
          <w:u w:val="none"/>
          <w:lang w:val="en-US" w:eastAsia="zh-CN"/>
        </w:rPr>
        <w:fldChar w:fldCharType="begin"/>
      </w:r>
      <w:r>
        <w:rPr>
          <w:rFonts w:hint="eastAsia" w:ascii="方正小标宋简体" w:hAnsi="方正小标宋简体" w:eastAsia="方正小标宋简体" w:cs="方正小标宋简体"/>
          <w:color w:val="auto"/>
          <w:u w:val="none"/>
          <w:lang w:val="en-US" w:eastAsia="zh-CN"/>
        </w:rPr>
        <w:instrText xml:space="preserve"> HYPERLINK \l _Toc20885 </w:instrText>
      </w:r>
      <w:r>
        <w:rPr>
          <w:rFonts w:hint="eastAsia" w:ascii="方正小标宋简体" w:hAnsi="方正小标宋简体" w:eastAsia="方正小标宋简体" w:cs="方正小标宋简体"/>
          <w:color w:val="auto"/>
          <w:u w:val="none"/>
          <w:lang w:val="en-US" w:eastAsia="zh-CN"/>
        </w:rPr>
        <w:fldChar w:fldCharType="separate"/>
      </w:r>
      <w:r>
        <w:rPr>
          <w:rFonts w:hint="eastAsia" w:ascii="方正小标宋简体" w:hAnsi="方正小标宋简体" w:eastAsia="方正小标宋简体" w:cs="方正小标宋简体"/>
          <w:color w:val="auto"/>
          <w:u w:val="none"/>
          <w:lang w:val="en-US" w:eastAsia="zh-CN"/>
        </w:rPr>
        <w:t>第一章 基金会十年</w:t>
      </w:r>
      <w:r>
        <w:rPr>
          <w:rFonts w:hint="eastAsia" w:ascii="方正小标宋简体" w:hAnsi="方正小标宋简体" w:eastAsia="方正小标宋简体" w:cs="方正小标宋简体"/>
          <w:color w:val="auto"/>
          <w:u w:val="none"/>
          <w:lang w:eastAsia="zh-CN"/>
        </w:rPr>
        <w:t>救助基本情况</w:t>
      </w:r>
      <w:r>
        <w:rPr>
          <w:rFonts w:hint="eastAsia" w:ascii="方正小标宋简体" w:hAnsi="方正小标宋简体" w:eastAsia="方正小标宋简体" w:cs="方正小标宋简体"/>
          <w:color w:val="auto"/>
          <w:u w:val="none"/>
        </w:rPr>
        <w:tab/>
      </w:r>
      <w:r>
        <w:rPr>
          <w:rFonts w:hint="eastAsia" w:ascii="方正小标宋简体" w:hAnsi="方正小标宋简体" w:eastAsia="方正小标宋简体" w:cs="方正小标宋简体"/>
          <w:color w:val="auto"/>
          <w:u w:val="none"/>
        </w:rPr>
        <w:fldChar w:fldCharType="begin"/>
      </w:r>
      <w:r>
        <w:rPr>
          <w:rFonts w:hint="eastAsia" w:ascii="方正小标宋简体" w:hAnsi="方正小标宋简体" w:eastAsia="方正小标宋简体" w:cs="方正小标宋简体"/>
          <w:color w:val="auto"/>
          <w:u w:val="none"/>
        </w:rPr>
        <w:instrText xml:space="preserve"> PAGEREF _Toc20885 \h </w:instrText>
      </w:r>
      <w:r>
        <w:rPr>
          <w:rFonts w:hint="eastAsia" w:ascii="方正小标宋简体" w:hAnsi="方正小标宋简体" w:eastAsia="方正小标宋简体" w:cs="方正小标宋简体"/>
          <w:color w:val="auto"/>
          <w:u w:val="none"/>
        </w:rPr>
        <w:fldChar w:fldCharType="separate"/>
      </w:r>
      <w:r>
        <w:rPr>
          <w:rFonts w:hint="eastAsia" w:ascii="方正小标宋简体" w:hAnsi="方正小标宋简体" w:eastAsia="方正小标宋简体" w:cs="方正小标宋简体"/>
          <w:color w:val="auto"/>
          <w:u w:val="none"/>
        </w:rPr>
        <w:t>8</w:t>
      </w:r>
      <w:r>
        <w:rPr>
          <w:rFonts w:hint="eastAsia" w:ascii="方正小标宋简体" w:hAnsi="方正小标宋简体" w:eastAsia="方正小标宋简体" w:cs="方正小标宋简体"/>
          <w:color w:val="auto"/>
          <w:u w:val="none"/>
        </w:rPr>
        <w:fldChar w:fldCharType="end"/>
      </w:r>
      <w:r>
        <w:rPr>
          <w:rFonts w:hint="eastAsia" w:ascii="方正小标宋简体" w:hAnsi="方正小标宋简体" w:eastAsia="方正小标宋简体" w:cs="方正小标宋简体"/>
          <w:color w:val="auto"/>
          <w:u w:val="none"/>
          <w:lang w:val="en-US" w:eastAsia="zh-CN"/>
        </w:rPr>
        <w:fldChar w:fldCharType="end"/>
      </w:r>
    </w:p>
    <w:p>
      <w:pPr>
        <w:pStyle w:val="24"/>
        <w:tabs>
          <w:tab w:val="right" w:leader="dot" w:pos="8306"/>
        </w:tabs>
        <w:rPr>
          <w:rFonts w:hint="eastAsia" w:ascii="方正小标宋简体" w:hAnsi="方正小标宋简体" w:eastAsia="方正小标宋简体" w:cs="方正小标宋简体"/>
          <w:color w:val="auto"/>
          <w:u w:val="none"/>
        </w:rPr>
      </w:pPr>
      <w:r>
        <w:rPr>
          <w:rFonts w:hint="eastAsia" w:ascii="方正小标宋简体" w:hAnsi="方正小标宋简体" w:eastAsia="方正小标宋简体" w:cs="方正小标宋简体"/>
          <w:color w:val="auto"/>
          <w:u w:val="none"/>
          <w:lang w:val="en-US" w:eastAsia="zh-CN"/>
        </w:rPr>
        <w:fldChar w:fldCharType="begin"/>
      </w:r>
      <w:r>
        <w:rPr>
          <w:rFonts w:hint="eastAsia" w:ascii="方正小标宋简体" w:hAnsi="方正小标宋简体" w:eastAsia="方正小标宋简体" w:cs="方正小标宋简体"/>
          <w:color w:val="auto"/>
          <w:u w:val="none"/>
          <w:lang w:val="en-US" w:eastAsia="zh-CN"/>
        </w:rPr>
        <w:instrText xml:space="preserve"> HYPERLINK \l _Toc6259 </w:instrText>
      </w:r>
      <w:r>
        <w:rPr>
          <w:rFonts w:hint="eastAsia" w:ascii="方正小标宋简体" w:hAnsi="方正小标宋简体" w:eastAsia="方正小标宋简体" w:cs="方正小标宋简体"/>
          <w:color w:val="auto"/>
          <w:u w:val="none"/>
          <w:lang w:val="en-US" w:eastAsia="zh-CN"/>
        </w:rPr>
        <w:fldChar w:fldCharType="separate"/>
      </w:r>
      <w:r>
        <w:rPr>
          <w:rFonts w:hint="eastAsia" w:ascii="方正小标宋简体" w:hAnsi="方正小标宋简体" w:eastAsia="方正小标宋简体" w:cs="方正小标宋简体"/>
          <w:color w:val="auto"/>
          <w:u w:val="none"/>
          <w:lang w:val="en-US" w:eastAsia="zh-CN"/>
        </w:rPr>
        <w:t>一、十年救助力保民生</w:t>
      </w:r>
      <w:r>
        <w:rPr>
          <w:rFonts w:hint="eastAsia" w:ascii="方正小标宋简体" w:hAnsi="方正小标宋简体" w:eastAsia="方正小标宋简体" w:cs="方正小标宋简体"/>
          <w:color w:val="auto"/>
          <w:u w:val="none"/>
        </w:rPr>
        <w:tab/>
      </w:r>
      <w:r>
        <w:rPr>
          <w:rFonts w:hint="eastAsia" w:ascii="方正小标宋简体" w:hAnsi="方正小标宋简体" w:eastAsia="方正小标宋简体" w:cs="方正小标宋简体"/>
          <w:color w:val="auto"/>
          <w:u w:val="none"/>
        </w:rPr>
        <w:fldChar w:fldCharType="begin"/>
      </w:r>
      <w:r>
        <w:rPr>
          <w:rFonts w:hint="eastAsia" w:ascii="方正小标宋简体" w:hAnsi="方正小标宋简体" w:eastAsia="方正小标宋简体" w:cs="方正小标宋简体"/>
          <w:color w:val="auto"/>
          <w:u w:val="none"/>
        </w:rPr>
        <w:instrText xml:space="preserve"> PAGEREF _Toc6259 \h </w:instrText>
      </w:r>
      <w:r>
        <w:rPr>
          <w:rFonts w:hint="eastAsia" w:ascii="方正小标宋简体" w:hAnsi="方正小标宋简体" w:eastAsia="方正小标宋简体" w:cs="方正小标宋简体"/>
          <w:color w:val="auto"/>
          <w:u w:val="none"/>
        </w:rPr>
        <w:fldChar w:fldCharType="separate"/>
      </w:r>
      <w:r>
        <w:rPr>
          <w:rFonts w:hint="eastAsia" w:ascii="方正小标宋简体" w:hAnsi="方正小标宋简体" w:eastAsia="方正小标宋简体" w:cs="方正小标宋简体"/>
          <w:color w:val="auto"/>
          <w:u w:val="none"/>
        </w:rPr>
        <w:t>8</w:t>
      </w:r>
      <w:r>
        <w:rPr>
          <w:rFonts w:hint="eastAsia" w:ascii="方正小标宋简体" w:hAnsi="方正小标宋简体" w:eastAsia="方正小标宋简体" w:cs="方正小标宋简体"/>
          <w:color w:val="auto"/>
          <w:u w:val="none"/>
        </w:rPr>
        <w:fldChar w:fldCharType="end"/>
      </w:r>
      <w:r>
        <w:rPr>
          <w:rFonts w:hint="eastAsia" w:ascii="方正小标宋简体" w:hAnsi="方正小标宋简体" w:eastAsia="方正小标宋简体" w:cs="方正小标宋简体"/>
          <w:color w:val="auto"/>
          <w:u w:val="none"/>
          <w:lang w:val="en-US" w:eastAsia="zh-CN"/>
        </w:rPr>
        <w:fldChar w:fldCharType="end"/>
      </w:r>
    </w:p>
    <w:p>
      <w:pPr>
        <w:pStyle w:val="24"/>
        <w:tabs>
          <w:tab w:val="right" w:leader="dot" w:pos="8306"/>
        </w:tabs>
        <w:rPr>
          <w:rFonts w:hint="eastAsia" w:ascii="方正小标宋简体" w:hAnsi="方正小标宋简体" w:eastAsia="方正小标宋简体" w:cs="方正小标宋简体"/>
          <w:color w:val="auto"/>
          <w:u w:val="none"/>
        </w:rPr>
      </w:pPr>
      <w:r>
        <w:rPr>
          <w:rFonts w:hint="eastAsia" w:ascii="方正小标宋简体" w:hAnsi="方正小标宋简体" w:eastAsia="方正小标宋简体" w:cs="方正小标宋简体"/>
          <w:color w:val="auto"/>
          <w:u w:val="none"/>
          <w:lang w:val="en-US" w:eastAsia="zh-CN"/>
        </w:rPr>
        <w:fldChar w:fldCharType="begin"/>
      </w:r>
      <w:r>
        <w:rPr>
          <w:rFonts w:hint="eastAsia" w:ascii="方正小标宋简体" w:hAnsi="方正小标宋简体" w:eastAsia="方正小标宋简体" w:cs="方正小标宋简体"/>
          <w:color w:val="auto"/>
          <w:u w:val="none"/>
          <w:lang w:val="en-US" w:eastAsia="zh-CN"/>
        </w:rPr>
        <w:instrText xml:space="preserve"> HYPERLINK \l _Toc27195 </w:instrText>
      </w:r>
      <w:r>
        <w:rPr>
          <w:rFonts w:hint="eastAsia" w:ascii="方正小标宋简体" w:hAnsi="方正小标宋简体" w:eastAsia="方正小标宋简体" w:cs="方正小标宋简体"/>
          <w:color w:val="auto"/>
          <w:u w:val="none"/>
          <w:lang w:val="en-US" w:eastAsia="zh-CN"/>
        </w:rPr>
        <w:fldChar w:fldCharType="separate"/>
      </w:r>
      <w:r>
        <w:rPr>
          <w:rFonts w:hint="eastAsia" w:ascii="方正小标宋简体" w:hAnsi="方正小标宋简体" w:eastAsia="方正小标宋简体" w:cs="方正小标宋简体"/>
          <w:color w:val="auto"/>
          <w:u w:val="none"/>
          <w:lang w:val="en-US" w:eastAsia="zh-CN"/>
        </w:rPr>
        <w:t>二、七大关怀凸显真情</w:t>
      </w:r>
      <w:r>
        <w:rPr>
          <w:rFonts w:hint="eastAsia" w:ascii="方正小标宋简体" w:hAnsi="方正小标宋简体" w:eastAsia="方正小标宋简体" w:cs="方正小标宋简体"/>
          <w:color w:val="auto"/>
          <w:u w:val="none"/>
        </w:rPr>
        <w:tab/>
      </w:r>
      <w:r>
        <w:rPr>
          <w:rFonts w:hint="eastAsia" w:ascii="方正小标宋简体" w:hAnsi="方正小标宋简体" w:eastAsia="方正小标宋简体" w:cs="方正小标宋简体"/>
          <w:color w:val="auto"/>
          <w:u w:val="none"/>
        </w:rPr>
        <w:fldChar w:fldCharType="begin"/>
      </w:r>
      <w:r>
        <w:rPr>
          <w:rFonts w:hint="eastAsia" w:ascii="方正小标宋简体" w:hAnsi="方正小标宋简体" w:eastAsia="方正小标宋简体" w:cs="方正小标宋简体"/>
          <w:color w:val="auto"/>
          <w:u w:val="none"/>
        </w:rPr>
        <w:instrText xml:space="preserve"> PAGEREF _Toc27195 \h </w:instrText>
      </w:r>
      <w:r>
        <w:rPr>
          <w:rFonts w:hint="eastAsia" w:ascii="方正小标宋简体" w:hAnsi="方正小标宋简体" w:eastAsia="方正小标宋简体" w:cs="方正小标宋简体"/>
          <w:color w:val="auto"/>
          <w:u w:val="none"/>
        </w:rPr>
        <w:fldChar w:fldCharType="separate"/>
      </w:r>
      <w:r>
        <w:rPr>
          <w:rFonts w:hint="eastAsia" w:ascii="方正小标宋简体" w:hAnsi="方正小标宋简体" w:eastAsia="方正小标宋简体" w:cs="方正小标宋简体"/>
          <w:color w:val="auto"/>
          <w:u w:val="none"/>
        </w:rPr>
        <w:t>9</w:t>
      </w:r>
      <w:r>
        <w:rPr>
          <w:rFonts w:hint="eastAsia" w:ascii="方正小标宋简体" w:hAnsi="方正小标宋简体" w:eastAsia="方正小标宋简体" w:cs="方正小标宋简体"/>
          <w:color w:val="auto"/>
          <w:u w:val="none"/>
        </w:rPr>
        <w:fldChar w:fldCharType="end"/>
      </w:r>
      <w:r>
        <w:rPr>
          <w:rFonts w:hint="eastAsia" w:ascii="方正小标宋简体" w:hAnsi="方正小标宋简体" w:eastAsia="方正小标宋简体" w:cs="方正小标宋简体"/>
          <w:color w:val="auto"/>
          <w:u w:val="none"/>
          <w:lang w:val="en-US" w:eastAsia="zh-CN"/>
        </w:rPr>
        <w:fldChar w:fldCharType="end"/>
      </w:r>
    </w:p>
    <w:p>
      <w:pPr>
        <w:pStyle w:val="24"/>
        <w:tabs>
          <w:tab w:val="right" w:leader="dot" w:pos="8306"/>
        </w:tabs>
        <w:rPr>
          <w:rFonts w:hint="eastAsia" w:ascii="方正小标宋简体" w:hAnsi="方正小标宋简体" w:eastAsia="方正小标宋简体" w:cs="方正小标宋简体"/>
          <w:color w:val="auto"/>
          <w:u w:val="none"/>
        </w:rPr>
      </w:pPr>
      <w:r>
        <w:rPr>
          <w:rFonts w:hint="eastAsia" w:ascii="方正小标宋简体" w:hAnsi="方正小标宋简体" w:eastAsia="方正小标宋简体" w:cs="方正小标宋简体"/>
          <w:color w:val="auto"/>
          <w:u w:val="none"/>
          <w:lang w:val="en-US" w:eastAsia="zh-CN"/>
        </w:rPr>
        <w:fldChar w:fldCharType="begin"/>
      </w:r>
      <w:r>
        <w:rPr>
          <w:rFonts w:hint="eastAsia" w:ascii="方正小标宋简体" w:hAnsi="方正小标宋简体" w:eastAsia="方正小标宋简体" w:cs="方正小标宋简体"/>
          <w:color w:val="auto"/>
          <w:u w:val="none"/>
          <w:lang w:val="en-US" w:eastAsia="zh-CN"/>
        </w:rPr>
        <w:instrText xml:space="preserve"> HYPERLINK \l _Toc29511 </w:instrText>
      </w:r>
      <w:r>
        <w:rPr>
          <w:rFonts w:hint="eastAsia" w:ascii="方正小标宋简体" w:hAnsi="方正小标宋简体" w:eastAsia="方正小标宋简体" w:cs="方正小标宋简体"/>
          <w:color w:val="auto"/>
          <w:u w:val="none"/>
          <w:lang w:val="en-US" w:eastAsia="zh-CN"/>
        </w:rPr>
        <w:fldChar w:fldCharType="separate"/>
      </w:r>
      <w:r>
        <w:rPr>
          <w:rFonts w:hint="eastAsia" w:ascii="方正小标宋简体" w:hAnsi="方正小标宋简体" w:eastAsia="方正小标宋简体" w:cs="方正小标宋简体"/>
          <w:color w:val="auto"/>
          <w:u w:val="none"/>
          <w:lang w:val="en-US" w:eastAsia="zh-CN"/>
        </w:rPr>
        <w:t>三、问题及改进建议</w:t>
      </w:r>
      <w:r>
        <w:rPr>
          <w:rFonts w:hint="eastAsia" w:ascii="方正小标宋简体" w:hAnsi="方正小标宋简体" w:eastAsia="方正小标宋简体" w:cs="方正小标宋简体"/>
          <w:color w:val="auto"/>
          <w:u w:val="none"/>
        </w:rPr>
        <w:tab/>
      </w:r>
      <w:r>
        <w:rPr>
          <w:rFonts w:hint="eastAsia" w:ascii="方正小标宋简体" w:hAnsi="方正小标宋简体" w:eastAsia="方正小标宋简体" w:cs="方正小标宋简体"/>
          <w:color w:val="auto"/>
          <w:u w:val="none"/>
        </w:rPr>
        <w:fldChar w:fldCharType="begin"/>
      </w:r>
      <w:r>
        <w:rPr>
          <w:rFonts w:hint="eastAsia" w:ascii="方正小标宋简体" w:hAnsi="方正小标宋简体" w:eastAsia="方正小标宋简体" w:cs="方正小标宋简体"/>
          <w:color w:val="auto"/>
          <w:u w:val="none"/>
        </w:rPr>
        <w:instrText xml:space="preserve"> PAGEREF _Toc29511 \h </w:instrText>
      </w:r>
      <w:r>
        <w:rPr>
          <w:rFonts w:hint="eastAsia" w:ascii="方正小标宋简体" w:hAnsi="方正小标宋简体" w:eastAsia="方正小标宋简体" w:cs="方正小标宋简体"/>
          <w:color w:val="auto"/>
          <w:u w:val="none"/>
        </w:rPr>
        <w:fldChar w:fldCharType="separate"/>
      </w:r>
      <w:r>
        <w:rPr>
          <w:rFonts w:hint="eastAsia" w:ascii="方正小标宋简体" w:hAnsi="方正小标宋简体" w:eastAsia="方正小标宋简体" w:cs="方正小标宋简体"/>
          <w:color w:val="auto"/>
          <w:u w:val="none"/>
        </w:rPr>
        <w:t>12</w:t>
      </w:r>
      <w:r>
        <w:rPr>
          <w:rFonts w:hint="eastAsia" w:ascii="方正小标宋简体" w:hAnsi="方正小标宋简体" w:eastAsia="方正小标宋简体" w:cs="方正小标宋简体"/>
          <w:color w:val="auto"/>
          <w:u w:val="none"/>
        </w:rPr>
        <w:fldChar w:fldCharType="end"/>
      </w:r>
      <w:r>
        <w:rPr>
          <w:rFonts w:hint="eastAsia" w:ascii="方正小标宋简体" w:hAnsi="方正小标宋简体" w:eastAsia="方正小标宋简体" w:cs="方正小标宋简体"/>
          <w:color w:val="auto"/>
          <w:u w:val="none"/>
          <w:lang w:val="en-US" w:eastAsia="zh-CN"/>
        </w:rPr>
        <w:fldChar w:fldCharType="end"/>
      </w:r>
    </w:p>
    <w:p>
      <w:pPr>
        <w:pStyle w:val="23"/>
        <w:tabs>
          <w:tab w:val="right" w:leader="dot" w:pos="8306"/>
        </w:tabs>
        <w:rPr>
          <w:rFonts w:hint="eastAsia" w:ascii="方正小标宋简体" w:hAnsi="方正小标宋简体" w:eastAsia="方正小标宋简体" w:cs="方正小标宋简体"/>
          <w:color w:val="auto"/>
          <w:u w:val="none"/>
        </w:rPr>
      </w:pPr>
      <w:r>
        <w:rPr>
          <w:rFonts w:hint="eastAsia" w:ascii="方正小标宋简体" w:hAnsi="方正小标宋简体" w:eastAsia="方正小标宋简体" w:cs="方正小标宋简体"/>
          <w:color w:val="auto"/>
          <w:u w:val="none"/>
          <w:lang w:val="en-US" w:eastAsia="zh-CN"/>
        </w:rPr>
        <w:fldChar w:fldCharType="begin"/>
      </w:r>
      <w:r>
        <w:rPr>
          <w:rFonts w:hint="eastAsia" w:ascii="方正小标宋简体" w:hAnsi="方正小标宋简体" w:eastAsia="方正小标宋简体" w:cs="方正小标宋简体"/>
          <w:color w:val="auto"/>
          <w:u w:val="none"/>
          <w:lang w:val="en-US" w:eastAsia="zh-CN"/>
        </w:rPr>
        <w:instrText xml:space="preserve"> HYPERLINK \l _Toc29027 </w:instrText>
      </w:r>
      <w:r>
        <w:rPr>
          <w:rFonts w:hint="eastAsia" w:ascii="方正小标宋简体" w:hAnsi="方正小标宋简体" w:eastAsia="方正小标宋简体" w:cs="方正小标宋简体"/>
          <w:color w:val="auto"/>
          <w:u w:val="none"/>
          <w:lang w:val="en-US" w:eastAsia="zh-CN"/>
        </w:rPr>
        <w:fldChar w:fldCharType="separate"/>
      </w:r>
      <w:r>
        <w:rPr>
          <w:rFonts w:hint="eastAsia" w:ascii="方正小标宋简体" w:hAnsi="方正小标宋简体" w:eastAsia="方正小标宋简体" w:cs="方正小标宋简体"/>
          <w:color w:val="auto"/>
          <w:u w:val="none"/>
          <w:lang w:val="en-US" w:eastAsia="zh-CN"/>
        </w:rPr>
        <w:t>第二章 基金会十年救助经验与成效</w:t>
      </w:r>
      <w:r>
        <w:rPr>
          <w:rFonts w:hint="eastAsia" w:ascii="方正小标宋简体" w:hAnsi="方正小标宋简体" w:eastAsia="方正小标宋简体" w:cs="方正小标宋简体"/>
          <w:color w:val="auto"/>
          <w:u w:val="none"/>
        </w:rPr>
        <w:tab/>
      </w:r>
      <w:r>
        <w:rPr>
          <w:rFonts w:hint="eastAsia" w:ascii="方正小标宋简体" w:hAnsi="方正小标宋简体" w:eastAsia="方正小标宋简体" w:cs="方正小标宋简体"/>
          <w:color w:val="auto"/>
          <w:u w:val="none"/>
        </w:rPr>
        <w:fldChar w:fldCharType="begin"/>
      </w:r>
      <w:r>
        <w:rPr>
          <w:rFonts w:hint="eastAsia" w:ascii="方正小标宋简体" w:hAnsi="方正小标宋简体" w:eastAsia="方正小标宋简体" w:cs="方正小标宋简体"/>
          <w:color w:val="auto"/>
          <w:u w:val="none"/>
        </w:rPr>
        <w:instrText xml:space="preserve"> PAGEREF _Toc29027 \h </w:instrText>
      </w:r>
      <w:r>
        <w:rPr>
          <w:rFonts w:hint="eastAsia" w:ascii="方正小标宋简体" w:hAnsi="方正小标宋简体" w:eastAsia="方正小标宋简体" w:cs="方正小标宋简体"/>
          <w:color w:val="auto"/>
          <w:u w:val="none"/>
        </w:rPr>
        <w:fldChar w:fldCharType="separate"/>
      </w:r>
      <w:r>
        <w:rPr>
          <w:rFonts w:hint="eastAsia" w:ascii="方正小标宋简体" w:hAnsi="方正小标宋简体" w:eastAsia="方正小标宋简体" w:cs="方正小标宋简体"/>
          <w:color w:val="auto"/>
          <w:u w:val="none"/>
        </w:rPr>
        <w:t>13</w:t>
      </w:r>
      <w:r>
        <w:rPr>
          <w:rFonts w:hint="eastAsia" w:ascii="方正小标宋简体" w:hAnsi="方正小标宋简体" w:eastAsia="方正小标宋简体" w:cs="方正小标宋简体"/>
          <w:color w:val="auto"/>
          <w:u w:val="none"/>
        </w:rPr>
        <w:fldChar w:fldCharType="end"/>
      </w:r>
      <w:r>
        <w:rPr>
          <w:rFonts w:hint="eastAsia" w:ascii="方正小标宋简体" w:hAnsi="方正小标宋简体" w:eastAsia="方正小标宋简体" w:cs="方正小标宋简体"/>
          <w:color w:val="auto"/>
          <w:u w:val="none"/>
          <w:lang w:val="en-US" w:eastAsia="zh-CN"/>
        </w:rPr>
        <w:fldChar w:fldCharType="end"/>
      </w:r>
    </w:p>
    <w:p>
      <w:pPr>
        <w:pStyle w:val="24"/>
        <w:tabs>
          <w:tab w:val="right" w:leader="dot" w:pos="8306"/>
        </w:tabs>
        <w:rPr>
          <w:rFonts w:hint="eastAsia" w:ascii="方正小标宋简体" w:hAnsi="方正小标宋简体" w:eastAsia="方正小标宋简体" w:cs="方正小标宋简体"/>
          <w:color w:val="auto"/>
          <w:u w:val="none"/>
        </w:rPr>
      </w:pPr>
      <w:r>
        <w:rPr>
          <w:rFonts w:hint="eastAsia" w:ascii="方正小标宋简体" w:hAnsi="方正小标宋简体" w:eastAsia="方正小标宋简体" w:cs="方正小标宋简体"/>
          <w:color w:val="auto"/>
          <w:u w:val="none"/>
          <w:lang w:val="en-US" w:eastAsia="zh-CN"/>
        </w:rPr>
        <w:fldChar w:fldCharType="begin"/>
      </w:r>
      <w:r>
        <w:rPr>
          <w:rFonts w:hint="eastAsia" w:ascii="方正小标宋简体" w:hAnsi="方正小标宋简体" w:eastAsia="方正小标宋简体" w:cs="方正小标宋简体"/>
          <w:color w:val="auto"/>
          <w:u w:val="none"/>
          <w:lang w:val="en-US" w:eastAsia="zh-CN"/>
        </w:rPr>
        <w:instrText xml:space="preserve"> HYPERLINK \l _Toc32692 </w:instrText>
      </w:r>
      <w:r>
        <w:rPr>
          <w:rFonts w:hint="eastAsia" w:ascii="方正小标宋简体" w:hAnsi="方正小标宋简体" w:eastAsia="方正小标宋简体" w:cs="方正小标宋简体"/>
          <w:color w:val="auto"/>
          <w:u w:val="none"/>
          <w:lang w:val="en-US" w:eastAsia="zh-CN"/>
        </w:rPr>
        <w:fldChar w:fldCharType="separate"/>
      </w:r>
      <w:r>
        <w:rPr>
          <w:rFonts w:hint="eastAsia" w:ascii="方正小标宋简体" w:hAnsi="方正小标宋简体" w:eastAsia="方正小标宋简体" w:cs="方正小标宋简体"/>
          <w:color w:val="auto"/>
          <w:u w:val="none"/>
          <w:lang w:val="en-US" w:eastAsia="zh-CN"/>
        </w:rPr>
        <w:t>一、 秉持初心使命</w:t>
      </w:r>
      <w:r>
        <w:rPr>
          <w:rFonts w:hint="eastAsia" w:ascii="方正小标宋简体" w:hAnsi="方正小标宋简体" w:eastAsia="方正小标宋简体" w:cs="方正小标宋简体"/>
          <w:color w:val="auto"/>
          <w:u w:val="none"/>
        </w:rPr>
        <w:tab/>
      </w:r>
      <w:r>
        <w:rPr>
          <w:rFonts w:hint="eastAsia" w:ascii="方正小标宋简体" w:hAnsi="方正小标宋简体" w:eastAsia="方正小标宋简体" w:cs="方正小标宋简体"/>
          <w:color w:val="auto"/>
          <w:u w:val="none"/>
        </w:rPr>
        <w:fldChar w:fldCharType="begin"/>
      </w:r>
      <w:r>
        <w:rPr>
          <w:rFonts w:hint="eastAsia" w:ascii="方正小标宋简体" w:hAnsi="方正小标宋简体" w:eastAsia="方正小标宋简体" w:cs="方正小标宋简体"/>
          <w:color w:val="auto"/>
          <w:u w:val="none"/>
        </w:rPr>
        <w:instrText xml:space="preserve"> PAGEREF _Toc32692 \h </w:instrText>
      </w:r>
      <w:r>
        <w:rPr>
          <w:rFonts w:hint="eastAsia" w:ascii="方正小标宋简体" w:hAnsi="方正小标宋简体" w:eastAsia="方正小标宋简体" w:cs="方正小标宋简体"/>
          <w:color w:val="auto"/>
          <w:u w:val="none"/>
        </w:rPr>
        <w:fldChar w:fldCharType="separate"/>
      </w:r>
      <w:r>
        <w:rPr>
          <w:rFonts w:hint="eastAsia" w:ascii="方正小标宋简体" w:hAnsi="方正小标宋简体" w:eastAsia="方正小标宋简体" w:cs="方正小标宋简体"/>
          <w:color w:val="auto"/>
          <w:u w:val="none"/>
        </w:rPr>
        <w:t>13</w:t>
      </w:r>
      <w:r>
        <w:rPr>
          <w:rFonts w:hint="eastAsia" w:ascii="方正小标宋简体" w:hAnsi="方正小标宋简体" w:eastAsia="方正小标宋简体" w:cs="方正小标宋简体"/>
          <w:color w:val="auto"/>
          <w:u w:val="none"/>
        </w:rPr>
        <w:fldChar w:fldCharType="end"/>
      </w:r>
      <w:r>
        <w:rPr>
          <w:rFonts w:hint="eastAsia" w:ascii="方正小标宋简体" w:hAnsi="方正小标宋简体" w:eastAsia="方正小标宋简体" w:cs="方正小标宋简体"/>
          <w:color w:val="auto"/>
          <w:u w:val="none"/>
          <w:lang w:val="en-US" w:eastAsia="zh-CN"/>
        </w:rPr>
        <w:fldChar w:fldCharType="end"/>
      </w:r>
    </w:p>
    <w:p>
      <w:pPr>
        <w:pStyle w:val="25"/>
        <w:tabs>
          <w:tab w:val="right" w:leader="dot" w:pos="8306"/>
        </w:tabs>
        <w:rPr>
          <w:rFonts w:hint="eastAsia" w:ascii="方正小标宋简体" w:hAnsi="方正小标宋简体" w:eastAsia="方正小标宋简体" w:cs="方正小标宋简体"/>
          <w:color w:val="auto"/>
          <w:u w:val="none"/>
        </w:rPr>
      </w:pPr>
      <w:r>
        <w:rPr>
          <w:rFonts w:hint="eastAsia" w:ascii="方正小标宋简体" w:hAnsi="方正小标宋简体" w:eastAsia="方正小标宋简体" w:cs="方正小标宋简体"/>
          <w:color w:val="auto"/>
          <w:u w:val="none"/>
          <w:lang w:val="en-US" w:eastAsia="zh-CN"/>
        </w:rPr>
        <w:fldChar w:fldCharType="begin"/>
      </w:r>
      <w:r>
        <w:rPr>
          <w:rFonts w:hint="eastAsia" w:ascii="方正小标宋简体" w:hAnsi="方正小标宋简体" w:eastAsia="方正小标宋简体" w:cs="方正小标宋简体"/>
          <w:color w:val="auto"/>
          <w:u w:val="none"/>
          <w:lang w:val="en-US" w:eastAsia="zh-CN"/>
        </w:rPr>
        <w:instrText xml:space="preserve"> HYPERLINK \l _Toc19199 </w:instrText>
      </w:r>
      <w:r>
        <w:rPr>
          <w:rFonts w:hint="eastAsia" w:ascii="方正小标宋简体" w:hAnsi="方正小标宋简体" w:eastAsia="方正小标宋简体" w:cs="方正小标宋简体"/>
          <w:color w:val="auto"/>
          <w:u w:val="none"/>
          <w:lang w:val="en-US" w:eastAsia="zh-CN"/>
        </w:rPr>
        <w:fldChar w:fldCharType="separate"/>
      </w:r>
      <w:r>
        <w:rPr>
          <w:rFonts w:hint="eastAsia" w:ascii="方正小标宋简体" w:hAnsi="方正小标宋简体" w:eastAsia="方正小标宋简体" w:cs="方正小标宋简体"/>
          <w:color w:val="auto"/>
          <w:u w:val="none"/>
          <w:lang w:val="en-US" w:eastAsia="zh-CN"/>
        </w:rPr>
        <w:t>（一）着力弥补普惠性救助不足，大力提升社会救助兜底保障功能</w:t>
      </w:r>
      <w:r>
        <w:rPr>
          <w:rFonts w:hint="eastAsia" w:ascii="方正小标宋简体" w:hAnsi="方正小标宋简体" w:eastAsia="方正小标宋简体" w:cs="方正小标宋简体"/>
          <w:color w:val="auto"/>
          <w:u w:val="none"/>
        </w:rPr>
        <w:tab/>
      </w:r>
      <w:r>
        <w:rPr>
          <w:rFonts w:hint="eastAsia" w:ascii="方正小标宋简体" w:hAnsi="方正小标宋简体" w:eastAsia="方正小标宋简体" w:cs="方正小标宋简体"/>
          <w:color w:val="auto"/>
          <w:u w:val="none"/>
        </w:rPr>
        <w:fldChar w:fldCharType="begin"/>
      </w:r>
      <w:r>
        <w:rPr>
          <w:rFonts w:hint="eastAsia" w:ascii="方正小标宋简体" w:hAnsi="方正小标宋简体" w:eastAsia="方正小标宋简体" w:cs="方正小标宋简体"/>
          <w:color w:val="auto"/>
          <w:u w:val="none"/>
        </w:rPr>
        <w:instrText xml:space="preserve"> PAGEREF _Toc19199 \h </w:instrText>
      </w:r>
      <w:r>
        <w:rPr>
          <w:rFonts w:hint="eastAsia" w:ascii="方正小标宋简体" w:hAnsi="方正小标宋简体" w:eastAsia="方正小标宋简体" w:cs="方正小标宋简体"/>
          <w:color w:val="auto"/>
          <w:u w:val="none"/>
        </w:rPr>
        <w:fldChar w:fldCharType="separate"/>
      </w:r>
      <w:r>
        <w:rPr>
          <w:rFonts w:hint="eastAsia" w:ascii="方正小标宋简体" w:hAnsi="方正小标宋简体" w:eastAsia="方正小标宋简体" w:cs="方正小标宋简体"/>
          <w:color w:val="auto"/>
          <w:u w:val="none"/>
        </w:rPr>
        <w:t>13</w:t>
      </w:r>
      <w:r>
        <w:rPr>
          <w:rFonts w:hint="eastAsia" w:ascii="方正小标宋简体" w:hAnsi="方正小标宋简体" w:eastAsia="方正小标宋简体" w:cs="方正小标宋简体"/>
          <w:color w:val="auto"/>
          <w:u w:val="none"/>
        </w:rPr>
        <w:fldChar w:fldCharType="end"/>
      </w:r>
      <w:r>
        <w:rPr>
          <w:rFonts w:hint="eastAsia" w:ascii="方正小标宋简体" w:hAnsi="方正小标宋简体" w:eastAsia="方正小标宋简体" w:cs="方正小标宋简体"/>
          <w:color w:val="auto"/>
          <w:u w:val="none"/>
          <w:lang w:val="en-US" w:eastAsia="zh-CN"/>
        </w:rPr>
        <w:fldChar w:fldCharType="end"/>
      </w:r>
    </w:p>
    <w:p>
      <w:pPr>
        <w:pStyle w:val="25"/>
        <w:tabs>
          <w:tab w:val="right" w:leader="dot" w:pos="8306"/>
        </w:tabs>
        <w:rPr>
          <w:rFonts w:hint="eastAsia" w:ascii="方正小标宋简体" w:hAnsi="方正小标宋简体" w:eastAsia="方正小标宋简体" w:cs="方正小标宋简体"/>
          <w:color w:val="auto"/>
          <w:u w:val="none"/>
        </w:rPr>
      </w:pPr>
      <w:r>
        <w:rPr>
          <w:rFonts w:hint="eastAsia" w:ascii="方正小标宋简体" w:hAnsi="方正小标宋简体" w:eastAsia="方正小标宋简体" w:cs="方正小标宋简体"/>
          <w:color w:val="auto"/>
          <w:u w:val="none"/>
          <w:lang w:val="en-US" w:eastAsia="zh-CN"/>
        </w:rPr>
        <w:fldChar w:fldCharType="begin"/>
      </w:r>
      <w:r>
        <w:rPr>
          <w:rFonts w:hint="eastAsia" w:ascii="方正小标宋简体" w:hAnsi="方正小标宋简体" w:eastAsia="方正小标宋简体" w:cs="方正小标宋简体"/>
          <w:color w:val="auto"/>
          <w:u w:val="none"/>
          <w:lang w:val="en-US" w:eastAsia="zh-CN"/>
        </w:rPr>
        <w:instrText xml:space="preserve"> HYPERLINK \l _Toc5592 </w:instrText>
      </w:r>
      <w:r>
        <w:rPr>
          <w:rFonts w:hint="eastAsia" w:ascii="方正小标宋简体" w:hAnsi="方正小标宋简体" w:eastAsia="方正小标宋简体" w:cs="方正小标宋简体"/>
          <w:color w:val="auto"/>
          <w:u w:val="none"/>
          <w:lang w:val="en-US" w:eastAsia="zh-CN"/>
        </w:rPr>
        <w:fldChar w:fldCharType="separate"/>
      </w:r>
      <w:r>
        <w:rPr>
          <w:rFonts w:hint="eastAsia" w:ascii="方正小标宋简体" w:hAnsi="方正小标宋简体" w:eastAsia="方正小标宋简体" w:cs="方正小标宋简体"/>
          <w:color w:val="auto"/>
          <w:u w:val="none"/>
          <w:lang w:val="en-US" w:eastAsia="zh-CN"/>
        </w:rPr>
        <w:t>（二）极大发挥社会组织灵活性，倾心对困难群众实施急难救助</w:t>
      </w:r>
      <w:r>
        <w:rPr>
          <w:rFonts w:hint="eastAsia" w:ascii="方正小标宋简体" w:hAnsi="方正小标宋简体" w:eastAsia="方正小标宋简体" w:cs="方正小标宋简体"/>
          <w:color w:val="auto"/>
          <w:u w:val="none"/>
        </w:rPr>
        <w:tab/>
      </w:r>
      <w:r>
        <w:rPr>
          <w:rFonts w:hint="eastAsia" w:ascii="方正小标宋简体" w:hAnsi="方正小标宋简体" w:eastAsia="方正小标宋简体" w:cs="方正小标宋简体"/>
          <w:color w:val="auto"/>
          <w:u w:val="none"/>
        </w:rPr>
        <w:fldChar w:fldCharType="begin"/>
      </w:r>
      <w:r>
        <w:rPr>
          <w:rFonts w:hint="eastAsia" w:ascii="方正小标宋简体" w:hAnsi="方正小标宋简体" w:eastAsia="方正小标宋简体" w:cs="方正小标宋简体"/>
          <w:color w:val="auto"/>
          <w:u w:val="none"/>
        </w:rPr>
        <w:instrText xml:space="preserve"> PAGEREF _Toc5592 \h </w:instrText>
      </w:r>
      <w:r>
        <w:rPr>
          <w:rFonts w:hint="eastAsia" w:ascii="方正小标宋简体" w:hAnsi="方正小标宋简体" w:eastAsia="方正小标宋简体" w:cs="方正小标宋简体"/>
          <w:color w:val="auto"/>
          <w:u w:val="none"/>
        </w:rPr>
        <w:fldChar w:fldCharType="separate"/>
      </w:r>
      <w:r>
        <w:rPr>
          <w:rFonts w:hint="eastAsia" w:ascii="方正小标宋简体" w:hAnsi="方正小标宋简体" w:eastAsia="方正小标宋简体" w:cs="方正小标宋简体"/>
          <w:color w:val="auto"/>
          <w:u w:val="none"/>
        </w:rPr>
        <w:t>16</w:t>
      </w:r>
      <w:r>
        <w:rPr>
          <w:rFonts w:hint="eastAsia" w:ascii="方正小标宋简体" w:hAnsi="方正小标宋简体" w:eastAsia="方正小标宋简体" w:cs="方正小标宋简体"/>
          <w:color w:val="auto"/>
          <w:u w:val="none"/>
        </w:rPr>
        <w:fldChar w:fldCharType="end"/>
      </w:r>
      <w:r>
        <w:rPr>
          <w:rFonts w:hint="eastAsia" w:ascii="方正小标宋简体" w:hAnsi="方正小标宋简体" w:eastAsia="方正小标宋简体" w:cs="方正小标宋简体"/>
          <w:color w:val="auto"/>
          <w:u w:val="none"/>
          <w:lang w:val="en-US" w:eastAsia="zh-CN"/>
        </w:rPr>
        <w:fldChar w:fldCharType="end"/>
      </w:r>
    </w:p>
    <w:p>
      <w:pPr>
        <w:pStyle w:val="24"/>
        <w:tabs>
          <w:tab w:val="right" w:leader="dot" w:pos="8306"/>
        </w:tabs>
        <w:rPr>
          <w:rFonts w:hint="eastAsia" w:ascii="方正小标宋简体" w:hAnsi="方正小标宋简体" w:eastAsia="方正小标宋简体" w:cs="方正小标宋简体"/>
          <w:color w:val="auto"/>
          <w:u w:val="none"/>
        </w:rPr>
      </w:pPr>
      <w:r>
        <w:rPr>
          <w:rFonts w:hint="eastAsia" w:ascii="方正小标宋简体" w:hAnsi="方正小标宋简体" w:eastAsia="方正小标宋简体" w:cs="方正小标宋简体"/>
          <w:color w:val="auto"/>
          <w:u w:val="none"/>
          <w:lang w:val="en-US" w:eastAsia="zh-CN"/>
        </w:rPr>
        <w:fldChar w:fldCharType="begin"/>
      </w:r>
      <w:r>
        <w:rPr>
          <w:rFonts w:hint="eastAsia" w:ascii="方正小标宋简体" w:hAnsi="方正小标宋简体" w:eastAsia="方正小标宋简体" w:cs="方正小标宋简体"/>
          <w:color w:val="auto"/>
          <w:u w:val="none"/>
          <w:lang w:val="en-US" w:eastAsia="zh-CN"/>
        </w:rPr>
        <w:instrText xml:space="preserve"> HYPERLINK \l _Toc10303 </w:instrText>
      </w:r>
      <w:r>
        <w:rPr>
          <w:rFonts w:hint="eastAsia" w:ascii="方正小标宋简体" w:hAnsi="方正小标宋简体" w:eastAsia="方正小标宋简体" w:cs="方正小标宋简体"/>
          <w:color w:val="auto"/>
          <w:u w:val="none"/>
          <w:lang w:val="en-US" w:eastAsia="zh-CN"/>
        </w:rPr>
        <w:fldChar w:fldCharType="separate"/>
      </w:r>
      <w:r>
        <w:rPr>
          <w:rFonts w:hint="eastAsia" w:ascii="方正小标宋简体" w:hAnsi="方正小标宋简体" w:eastAsia="方正小标宋简体" w:cs="方正小标宋简体"/>
          <w:color w:val="auto"/>
          <w:u w:val="none"/>
          <w:lang w:val="en-US" w:eastAsia="zh-CN"/>
        </w:rPr>
        <w:t>二、锐意发展创新</w:t>
      </w:r>
      <w:r>
        <w:rPr>
          <w:rFonts w:hint="eastAsia" w:ascii="方正小标宋简体" w:hAnsi="方正小标宋简体" w:eastAsia="方正小标宋简体" w:cs="方正小标宋简体"/>
          <w:color w:val="auto"/>
          <w:u w:val="none"/>
        </w:rPr>
        <w:tab/>
      </w:r>
      <w:r>
        <w:rPr>
          <w:rFonts w:hint="eastAsia" w:ascii="方正小标宋简体" w:hAnsi="方正小标宋简体" w:eastAsia="方正小标宋简体" w:cs="方正小标宋简体"/>
          <w:color w:val="auto"/>
          <w:u w:val="none"/>
        </w:rPr>
        <w:fldChar w:fldCharType="begin"/>
      </w:r>
      <w:r>
        <w:rPr>
          <w:rFonts w:hint="eastAsia" w:ascii="方正小标宋简体" w:hAnsi="方正小标宋简体" w:eastAsia="方正小标宋简体" w:cs="方正小标宋简体"/>
          <w:color w:val="auto"/>
          <w:u w:val="none"/>
        </w:rPr>
        <w:instrText xml:space="preserve"> PAGEREF _Toc10303 \h </w:instrText>
      </w:r>
      <w:r>
        <w:rPr>
          <w:rFonts w:hint="eastAsia" w:ascii="方正小标宋简体" w:hAnsi="方正小标宋简体" w:eastAsia="方正小标宋简体" w:cs="方正小标宋简体"/>
          <w:color w:val="auto"/>
          <w:u w:val="none"/>
        </w:rPr>
        <w:fldChar w:fldCharType="separate"/>
      </w:r>
      <w:r>
        <w:rPr>
          <w:rFonts w:hint="eastAsia" w:ascii="方正小标宋简体" w:hAnsi="方正小标宋简体" w:eastAsia="方正小标宋简体" w:cs="方正小标宋简体"/>
          <w:color w:val="auto"/>
          <w:u w:val="none"/>
        </w:rPr>
        <w:t>17</w:t>
      </w:r>
      <w:r>
        <w:rPr>
          <w:rFonts w:hint="eastAsia" w:ascii="方正小标宋简体" w:hAnsi="方正小标宋简体" w:eastAsia="方正小标宋简体" w:cs="方正小标宋简体"/>
          <w:color w:val="auto"/>
          <w:u w:val="none"/>
        </w:rPr>
        <w:fldChar w:fldCharType="end"/>
      </w:r>
      <w:r>
        <w:rPr>
          <w:rFonts w:hint="eastAsia" w:ascii="方正小标宋简体" w:hAnsi="方正小标宋简体" w:eastAsia="方正小标宋简体" w:cs="方正小标宋简体"/>
          <w:color w:val="auto"/>
          <w:u w:val="none"/>
          <w:lang w:val="en-US" w:eastAsia="zh-CN"/>
        </w:rPr>
        <w:fldChar w:fldCharType="end"/>
      </w:r>
    </w:p>
    <w:p>
      <w:pPr>
        <w:pStyle w:val="25"/>
        <w:tabs>
          <w:tab w:val="right" w:leader="dot" w:pos="8306"/>
        </w:tabs>
        <w:rPr>
          <w:rFonts w:hint="eastAsia" w:ascii="方正小标宋简体" w:hAnsi="方正小标宋简体" w:eastAsia="方正小标宋简体" w:cs="方正小标宋简体"/>
          <w:color w:val="auto"/>
          <w:u w:val="none"/>
        </w:rPr>
      </w:pPr>
      <w:r>
        <w:rPr>
          <w:rFonts w:hint="eastAsia" w:ascii="方正小标宋简体" w:hAnsi="方正小标宋简体" w:eastAsia="方正小标宋简体" w:cs="方正小标宋简体"/>
          <w:color w:val="auto"/>
          <w:u w:val="none"/>
          <w:lang w:val="en-US" w:eastAsia="zh-CN"/>
        </w:rPr>
        <w:fldChar w:fldCharType="begin"/>
      </w:r>
      <w:r>
        <w:rPr>
          <w:rFonts w:hint="eastAsia" w:ascii="方正小标宋简体" w:hAnsi="方正小标宋简体" w:eastAsia="方正小标宋简体" w:cs="方正小标宋简体"/>
          <w:color w:val="auto"/>
          <w:u w:val="none"/>
          <w:lang w:val="en-US" w:eastAsia="zh-CN"/>
        </w:rPr>
        <w:instrText xml:space="preserve"> HYPERLINK \l _Toc22546 </w:instrText>
      </w:r>
      <w:r>
        <w:rPr>
          <w:rFonts w:hint="eastAsia" w:ascii="方正小标宋简体" w:hAnsi="方正小标宋简体" w:eastAsia="方正小标宋简体" w:cs="方正小标宋简体"/>
          <w:color w:val="auto"/>
          <w:u w:val="none"/>
          <w:lang w:val="en-US" w:eastAsia="zh-CN"/>
        </w:rPr>
        <w:fldChar w:fldCharType="separate"/>
      </w:r>
      <w:r>
        <w:rPr>
          <w:rFonts w:hint="eastAsia" w:ascii="方正小标宋简体" w:hAnsi="方正小标宋简体" w:eastAsia="方正小标宋简体" w:cs="方正小标宋简体"/>
          <w:color w:val="auto"/>
          <w:u w:val="none"/>
          <w:lang w:val="en-US" w:eastAsia="zh-CN"/>
        </w:rPr>
        <w:t>（一）“医、住、学”三保障，助力脱贫攻坚</w:t>
      </w:r>
      <w:r>
        <w:rPr>
          <w:rFonts w:hint="eastAsia" w:ascii="方正小标宋简体" w:hAnsi="方正小标宋简体" w:eastAsia="方正小标宋简体" w:cs="方正小标宋简体"/>
          <w:color w:val="auto"/>
          <w:u w:val="none"/>
        </w:rPr>
        <w:tab/>
      </w:r>
      <w:r>
        <w:rPr>
          <w:rFonts w:hint="eastAsia" w:ascii="方正小标宋简体" w:hAnsi="方正小标宋简体" w:eastAsia="方正小标宋简体" w:cs="方正小标宋简体"/>
          <w:color w:val="auto"/>
          <w:u w:val="none"/>
        </w:rPr>
        <w:fldChar w:fldCharType="begin"/>
      </w:r>
      <w:r>
        <w:rPr>
          <w:rFonts w:hint="eastAsia" w:ascii="方正小标宋简体" w:hAnsi="方正小标宋简体" w:eastAsia="方正小标宋简体" w:cs="方正小标宋简体"/>
          <w:color w:val="auto"/>
          <w:u w:val="none"/>
        </w:rPr>
        <w:instrText xml:space="preserve"> PAGEREF _Toc22546 \h </w:instrText>
      </w:r>
      <w:r>
        <w:rPr>
          <w:rFonts w:hint="eastAsia" w:ascii="方正小标宋简体" w:hAnsi="方正小标宋简体" w:eastAsia="方正小标宋简体" w:cs="方正小标宋简体"/>
          <w:color w:val="auto"/>
          <w:u w:val="none"/>
        </w:rPr>
        <w:fldChar w:fldCharType="separate"/>
      </w:r>
      <w:r>
        <w:rPr>
          <w:rFonts w:hint="eastAsia" w:ascii="方正小标宋简体" w:hAnsi="方正小标宋简体" w:eastAsia="方正小标宋简体" w:cs="方正小标宋简体"/>
          <w:color w:val="auto"/>
          <w:u w:val="none"/>
        </w:rPr>
        <w:t>18</w:t>
      </w:r>
      <w:r>
        <w:rPr>
          <w:rFonts w:hint="eastAsia" w:ascii="方正小标宋简体" w:hAnsi="方正小标宋简体" w:eastAsia="方正小标宋简体" w:cs="方正小标宋简体"/>
          <w:color w:val="auto"/>
          <w:u w:val="none"/>
        </w:rPr>
        <w:fldChar w:fldCharType="end"/>
      </w:r>
      <w:r>
        <w:rPr>
          <w:rFonts w:hint="eastAsia" w:ascii="方正小标宋简体" w:hAnsi="方正小标宋简体" w:eastAsia="方正小标宋简体" w:cs="方正小标宋简体"/>
          <w:color w:val="auto"/>
          <w:u w:val="none"/>
          <w:lang w:val="en-US" w:eastAsia="zh-CN"/>
        </w:rPr>
        <w:fldChar w:fldCharType="end"/>
      </w:r>
    </w:p>
    <w:p>
      <w:pPr>
        <w:pStyle w:val="25"/>
        <w:tabs>
          <w:tab w:val="right" w:leader="dot" w:pos="8306"/>
        </w:tabs>
        <w:rPr>
          <w:rFonts w:hint="eastAsia" w:ascii="方正小标宋简体" w:hAnsi="方正小标宋简体" w:eastAsia="方正小标宋简体" w:cs="方正小标宋简体"/>
          <w:color w:val="auto"/>
          <w:u w:val="none"/>
        </w:rPr>
      </w:pPr>
      <w:r>
        <w:rPr>
          <w:rFonts w:hint="eastAsia" w:ascii="方正小标宋简体" w:hAnsi="方正小标宋简体" w:eastAsia="方正小标宋简体" w:cs="方正小标宋简体"/>
          <w:color w:val="auto"/>
          <w:u w:val="none"/>
          <w:lang w:val="en-US" w:eastAsia="zh-CN"/>
        </w:rPr>
        <w:fldChar w:fldCharType="begin"/>
      </w:r>
      <w:r>
        <w:rPr>
          <w:rFonts w:hint="eastAsia" w:ascii="方正小标宋简体" w:hAnsi="方正小标宋简体" w:eastAsia="方正小标宋简体" w:cs="方正小标宋简体"/>
          <w:color w:val="auto"/>
          <w:u w:val="none"/>
          <w:lang w:val="en-US" w:eastAsia="zh-CN"/>
        </w:rPr>
        <w:instrText xml:space="preserve"> HYPERLINK \l _Toc30918 </w:instrText>
      </w:r>
      <w:r>
        <w:rPr>
          <w:rFonts w:hint="eastAsia" w:ascii="方正小标宋简体" w:hAnsi="方正小标宋简体" w:eastAsia="方正小标宋简体" w:cs="方正小标宋简体"/>
          <w:color w:val="auto"/>
          <w:u w:val="none"/>
          <w:lang w:val="en-US" w:eastAsia="zh-CN"/>
        </w:rPr>
        <w:fldChar w:fldCharType="separate"/>
      </w:r>
      <w:r>
        <w:rPr>
          <w:rFonts w:hint="eastAsia" w:ascii="方正小标宋简体" w:hAnsi="方正小标宋简体" w:eastAsia="方正小标宋简体" w:cs="方正小标宋简体"/>
          <w:color w:val="auto"/>
          <w:u w:val="none"/>
          <w:lang w:val="en-US" w:eastAsia="zh-CN"/>
        </w:rPr>
        <w:t>（二）“物质+服务”，创新社区救助新模式</w:t>
      </w:r>
      <w:r>
        <w:rPr>
          <w:rFonts w:hint="eastAsia" w:ascii="方正小标宋简体" w:hAnsi="方正小标宋简体" w:eastAsia="方正小标宋简体" w:cs="方正小标宋简体"/>
          <w:color w:val="auto"/>
          <w:u w:val="none"/>
        </w:rPr>
        <w:tab/>
      </w:r>
      <w:r>
        <w:rPr>
          <w:rFonts w:hint="eastAsia" w:ascii="方正小标宋简体" w:hAnsi="方正小标宋简体" w:eastAsia="方正小标宋简体" w:cs="方正小标宋简体"/>
          <w:color w:val="auto"/>
          <w:u w:val="none"/>
        </w:rPr>
        <w:fldChar w:fldCharType="begin"/>
      </w:r>
      <w:r>
        <w:rPr>
          <w:rFonts w:hint="eastAsia" w:ascii="方正小标宋简体" w:hAnsi="方正小标宋简体" w:eastAsia="方正小标宋简体" w:cs="方正小标宋简体"/>
          <w:color w:val="auto"/>
          <w:u w:val="none"/>
        </w:rPr>
        <w:instrText xml:space="preserve"> PAGEREF _Toc30918 \h </w:instrText>
      </w:r>
      <w:r>
        <w:rPr>
          <w:rFonts w:hint="eastAsia" w:ascii="方正小标宋简体" w:hAnsi="方正小标宋简体" w:eastAsia="方正小标宋简体" w:cs="方正小标宋简体"/>
          <w:color w:val="auto"/>
          <w:u w:val="none"/>
        </w:rPr>
        <w:fldChar w:fldCharType="separate"/>
      </w:r>
      <w:r>
        <w:rPr>
          <w:rFonts w:hint="eastAsia" w:ascii="方正小标宋简体" w:hAnsi="方正小标宋简体" w:eastAsia="方正小标宋简体" w:cs="方正小标宋简体"/>
          <w:color w:val="auto"/>
          <w:u w:val="none"/>
        </w:rPr>
        <w:t>21</w:t>
      </w:r>
      <w:r>
        <w:rPr>
          <w:rFonts w:hint="eastAsia" w:ascii="方正小标宋简体" w:hAnsi="方正小标宋简体" w:eastAsia="方正小标宋简体" w:cs="方正小标宋简体"/>
          <w:color w:val="auto"/>
          <w:u w:val="none"/>
        </w:rPr>
        <w:fldChar w:fldCharType="end"/>
      </w:r>
      <w:r>
        <w:rPr>
          <w:rFonts w:hint="eastAsia" w:ascii="方正小标宋简体" w:hAnsi="方正小标宋简体" w:eastAsia="方正小标宋简体" w:cs="方正小标宋简体"/>
          <w:color w:val="auto"/>
          <w:u w:val="none"/>
          <w:lang w:val="en-US" w:eastAsia="zh-CN"/>
        </w:rPr>
        <w:fldChar w:fldCharType="end"/>
      </w:r>
    </w:p>
    <w:p>
      <w:pPr>
        <w:pStyle w:val="25"/>
        <w:tabs>
          <w:tab w:val="right" w:leader="dot" w:pos="8306"/>
        </w:tabs>
        <w:rPr>
          <w:rFonts w:hint="eastAsia" w:ascii="方正小标宋简体" w:hAnsi="方正小标宋简体" w:eastAsia="方正小标宋简体" w:cs="方正小标宋简体"/>
          <w:color w:val="auto"/>
          <w:u w:val="none"/>
        </w:rPr>
      </w:pPr>
      <w:r>
        <w:rPr>
          <w:rFonts w:hint="eastAsia" w:ascii="方正小标宋简体" w:hAnsi="方正小标宋简体" w:eastAsia="方正小标宋简体" w:cs="方正小标宋简体"/>
          <w:color w:val="auto"/>
          <w:u w:val="none"/>
          <w:lang w:val="en-US" w:eastAsia="zh-CN"/>
        </w:rPr>
        <w:fldChar w:fldCharType="begin"/>
      </w:r>
      <w:r>
        <w:rPr>
          <w:rFonts w:hint="eastAsia" w:ascii="方正小标宋简体" w:hAnsi="方正小标宋简体" w:eastAsia="方正小标宋简体" w:cs="方正小标宋简体"/>
          <w:color w:val="auto"/>
          <w:u w:val="none"/>
          <w:lang w:val="en-US" w:eastAsia="zh-CN"/>
        </w:rPr>
        <w:instrText xml:space="preserve"> HYPERLINK \l _Toc7887 </w:instrText>
      </w:r>
      <w:r>
        <w:rPr>
          <w:rFonts w:hint="eastAsia" w:ascii="方正小标宋简体" w:hAnsi="方正小标宋简体" w:eastAsia="方正小标宋简体" w:cs="方正小标宋简体"/>
          <w:color w:val="auto"/>
          <w:u w:val="none"/>
          <w:lang w:val="en-US" w:eastAsia="zh-CN"/>
        </w:rPr>
        <w:fldChar w:fldCharType="separate"/>
      </w:r>
      <w:r>
        <w:rPr>
          <w:rFonts w:hint="eastAsia" w:ascii="方正小标宋简体" w:hAnsi="方正小标宋简体" w:eastAsia="方正小标宋简体" w:cs="方正小标宋简体"/>
          <w:color w:val="auto"/>
          <w:u w:val="none"/>
          <w:lang w:val="en-US" w:eastAsia="zh-CN"/>
        </w:rPr>
        <w:t>（三）急难众筹，广泛集聚社会救助力量</w:t>
      </w:r>
      <w:r>
        <w:rPr>
          <w:rFonts w:hint="eastAsia" w:ascii="方正小标宋简体" w:hAnsi="方正小标宋简体" w:eastAsia="方正小标宋简体" w:cs="方正小标宋简体"/>
          <w:color w:val="auto"/>
          <w:u w:val="none"/>
        </w:rPr>
        <w:tab/>
      </w:r>
      <w:r>
        <w:rPr>
          <w:rFonts w:hint="eastAsia" w:ascii="方正小标宋简体" w:hAnsi="方正小标宋简体" w:eastAsia="方正小标宋简体" w:cs="方正小标宋简体"/>
          <w:color w:val="auto"/>
          <w:u w:val="none"/>
        </w:rPr>
        <w:fldChar w:fldCharType="begin"/>
      </w:r>
      <w:r>
        <w:rPr>
          <w:rFonts w:hint="eastAsia" w:ascii="方正小标宋简体" w:hAnsi="方正小标宋简体" w:eastAsia="方正小标宋简体" w:cs="方正小标宋简体"/>
          <w:color w:val="auto"/>
          <w:u w:val="none"/>
        </w:rPr>
        <w:instrText xml:space="preserve"> PAGEREF _Toc7887 \h </w:instrText>
      </w:r>
      <w:r>
        <w:rPr>
          <w:rFonts w:hint="eastAsia" w:ascii="方正小标宋简体" w:hAnsi="方正小标宋简体" w:eastAsia="方正小标宋简体" w:cs="方正小标宋简体"/>
          <w:color w:val="auto"/>
          <w:u w:val="none"/>
        </w:rPr>
        <w:fldChar w:fldCharType="separate"/>
      </w:r>
      <w:r>
        <w:rPr>
          <w:rFonts w:hint="eastAsia" w:ascii="方正小标宋简体" w:hAnsi="方正小标宋简体" w:eastAsia="方正小标宋简体" w:cs="方正小标宋简体"/>
          <w:color w:val="auto"/>
          <w:u w:val="none"/>
        </w:rPr>
        <w:t>23</w:t>
      </w:r>
      <w:r>
        <w:rPr>
          <w:rFonts w:hint="eastAsia" w:ascii="方正小标宋简体" w:hAnsi="方正小标宋简体" w:eastAsia="方正小标宋简体" w:cs="方正小标宋简体"/>
          <w:color w:val="auto"/>
          <w:u w:val="none"/>
        </w:rPr>
        <w:fldChar w:fldCharType="end"/>
      </w:r>
      <w:r>
        <w:rPr>
          <w:rFonts w:hint="eastAsia" w:ascii="方正小标宋简体" w:hAnsi="方正小标宋简体" w:eastAsia="方正小标宋简体" w:cs="方正小标宋简体"/>
          <w:color w:val="auto"/>
          <w:u w:val="none"/>
          <w:lang w:val="en-US" w:eastAsia="zh-CN"/>
        </w:rPr>
        <w:fldChar w:fldCharType="end"/>
      </w:r>
    </w:p>
    <w:p>
      <w:pPr>
        <w:pStyle w:val="24"/>
        <w:tabs>
          <w:tab w:val="right" w:leader="dot" w:pos="8306"/>
        </w:tabs>
        <w:rPr>
          <w:rFonts w:hint="eastAsia" w:ascii="方正小标宋简体" w:hAnsi="方正小标宋简体" w:eastAsia="方正小标宋简体" w:cs="方正小标宋简体"/>
          <w:color w:val="auto"/>
          <w:u w:val="none"/>
        </w:rPr>
      </w:pPr>
      <w:r>
        <w:rPr>
          <w:rFonts w:hint="eastAsia" w:ascii="方正小标宋简体" w:hAnsi="方正小标宋简体" w:eastAsia="方正小标宋简体" w:cs="方正小标宋简体"/>
          <w:color w:val="auto"/>
          <w:u w:val="none"/>
          <w:lang w:val="en-US" w:eastAsia="zh-CN"/>
        </w:rPr>
        <w:fldChar w:fldCharType="begin"/>
      </w:r>
      <w:r>
        <w:rPr>
          <w:rFonts w:hint="eastAsia" w:ascii="方正小标宋简体" w:hAnsi="方正小标宋简体" w:eastAsia="方正小标宋简体" w:cs="方正小标宋简体"/>
          <w:color w:val="auto"/>
          <w:u w:val="none"/>
          <w:lang w:val="en-US" w:eastAsia="zh-CN"/>
        </w:rPr>
        <w:instrText xml:space="preserve"> HYPERLINK \l _Toc2614 </w:instrText>
      </w:r>
      <w:r>
        <w:rPr>
          <w:rFonts w:hint="eastAsia" w:ascii="方正小标宋简体" w:hAnsi="方正小标宋简体" w:eastAsia="方正小标宋简体" w:cs="方正小标宋简体"/>
          <w:color w:val="auto"/>
          <w:u w:val="none"/>
          <w:lang w:val="en-US" w:eastAsia="zh-CN"/>
        </w:rPr>
        <w:fldChar w:fldCharType="separate"/>
      </w:r>
      <w:r>
        <w:rPr>
          <w:rFonts w:hint="eastAsia" w:ascii="方正小标宋简体" w:hAnsi="方正小标宋简体" w:eastAsia="方正小标宋简体" w:cs="方正小标宋简体"/>
          <w:color w:val="auto"/>
          <w:u w:val="none"/>
          <w:lang w:val="en-US" w:eastAsia="zh-CN"/>
        </w:rPr>
        <w:t>三、健全管理制度</w:t>
      </w:r>
      <w:r>
        <w:rPr>
          <w:rFonts w:hint="eastAsia" w:ascii="方正小标宋简体" w:hAnsi="方正小标宋简体" w:eastAsia="方正小标宋简体" w:cs="方正小标宋简体"/>
          <w:color w:val="auto"/>
          <w:u w:val="none"/>
        </w:rPr>
        <w:tab/>
      </w:r>
      <w:r>
        <w:rPr>
          <w:rFonts w:hint="eastAsia" w:ascii="方正小标宋简体" w:hAnsi="方正小标宋简体" w:eastAsia="方正小标宋简体" w:cs="方正小标宋简体"/>
          <w:color w:val="auto"/>
          <w:u w:val="none"/>
        </w:rPr>
        <w:fldChar w:fldCharType="begin"/>
      </w:r>
      <w:r>
        <w:rPr>
          <w:rFonts w:hint="eastAsia" w:ascii="方正小标宋简体" w:hAnsi="方正小标宋简体" w:eastAsia="方正小标宋简体" w:cs="方正小标宋简体"/>
          <w:color w:val="auto"/>
          <w:u w:val="none"/>
        </w:rPr>
        <w:instrText xml:space="preserve"> PAGEREF _Toc2614 \h </w:instrText>
      </w:r>
      <w:r>
        <w:rPr>
          <w:rFonts w:hint="eastAsia" w:ascii="方正小标宋简体" w:hAnsi="方正小标宋简体" w:eastAsia="方正小标宋简体" w:cs="方正小标宋简体"/>
          <w:color w:val="auto"/>
          <w:u w:val="none"/>
        </w:rPr>
        <w:fldChar w:fldCharType="separate"/>
      </w:r>
      <w:r>
        <w:rPr>
          <w:rFonts w:hint="eastAsia" w:ascii="方正小标宋简体" w:hAnsi="方正小标宋简体" w:eastAsia="方正小标宋简体" w:cs="方正小标宋简体"/>
          <w:color w:val="auto"/>
          <w:u w:val="none"/>
        </w:rPr>
        <w:t>27</w:t>
      </w:r>
      <w:r>
        <w:rPr>
          <w:rFonts w:hint="eastAsia" w:ascii="方正小标宋简体" w:hAnsi="方正小标宋简体" w:eastAsia="方正小标宋简体" w:cs="方正小标宋简体"/>
          <w:color w:val="auto"/>
          <w:u w:val="none"/>
        </w:rPr>
        <w:fldChar w:fldCharType="end"/>
      </w:r>
      <w:r>
        <w:rPr>
          <w:rFonts w:hint="eastAsia" w:ascii="方正小标宋简体" w:hAnsi="方正小标宋简体" w:eastAsia="方正小标宋简体" w:cs="方正小标宋简体"/>
          <w:color w:val="auto"/>
          <w:u w:val="none"/>
          <w:lang w:val="en-US" w:eastAsia="zh-CN"/>
        </w:rPr>
        <w:fldChar w:fldCharType="end"/>
      </w:r>
    </w:p>
    <w:p>
      <w:pPr>
        <w:pStyle w:val="25"/>
        <w:tabs>
          <w:tab w:val="right" w:leader="dot" w:pos="8306"/>
        </w:tabs>
        <w:rPr>
          <w:rFonts w:hint="eastAsia" w:ascii="方正小标宋简体" w:hAnsi="方正小标宋简体" w:eastAsia="方正小标宋简体" w:cs="方正小标宋简体"/>
          <w:color w:val="auto"/>
          <w:u w:val="none"/>
        </w:rPr>
      </w:pPr>
      <w:r>
        <w:rPr>
          <w:rFonts w:hint="eastAsia" w:ascii="方正小标宋简体" w:hAnsi="方正小标宋简体" w:eastAsia="方正小标宋简体" w:cs="方正小标宋简体"/>
          <w:color w:val="auto"/>
          <w:u w:val="none"/>
          <w:lang w:val="en-US" w:eastAsia="zh-CN"/>
        </w:rPr>
        <w:fldChar w:fldCharType="begin"/>
      </w:r>
      <w:r>
        <w:rPr>
          <w:rFonts w:hint="eastAsia" w:ascii="方正小标宋简体" w:hAnsi="方正小标宋简体" w:eastAsia="方正小标宋简体" w:cs="方正小标宋简体"/>
          <w:color w:val="auto"/>
          <w:u w:val="none"/>
          <w:lang w:val="en-US" w:eastAsia="zh-CN"/>
        </w:rPr>
        <w:instrText xml:space="preserve"> HYPERLINK \l _Toc3500 </w:instrText>
      </w:r>
      <w:r>
        <w:rPr>
          <w:rFonts w:hint="eastAsia" w:ascii="方正小标宋简体" w:hAnsi="方正小标宋简体" w:eastAsia="方正小标宋简体" w:cs="方正小标宋简体"/>
          <w:color w:val="auto"/>
          <w:u w:val="none"/>
          <w:lang w:val="en-US" w:eastAsia="zh-CN"/>
        </w:rPr>
        <w:fldChar w:fldCharType="separate"/>
      </w:r>
      <w:r>
        <w:rPr>
          <w:rFonts w:hint="eastAsia" w:ascii="方正小标宋简体" w:hAnsi="方正小标宋简体" w:eastAsia="方正小标宋简体" w:cs="方正小标宋简体"/>
          <w:color w:val="auto"/>
          <w:u w:val="none"/>
          <w:lang w:val="en-US" w:eastAsia="zh-CN"/>
        </w:rPr>
        <w:t>（一）加强制度建设</w:t>
      </w:r>
      <w:r>
        <w:rPr>
          <w:rFonts w:hint="eastAsia" w:ascii="方正小标宋简体" w:hAnsi="方正小标宋简体" w:eastAsia="方正小标宋简体" w:cs="方正小标宋简体"/>
          <w:color w:val="auto"/>
          <w:u w:val="none"/>
        </w:rPr>
        <w:tab/>
      </w:r>
      <w:r>
        <w:rPr>
          <w:rFonts w:hint="eastAsia" w:ascii="方正小标宋简体" w:hAnsi="方正小标宋简体" w:eastAsia="方正小标宋简体" w:cs="方正小标宋简体"/>
          <w:color w:val="auto"/>
          <w:u w:val="none"/>
        </w:rPr>
        <w:fldChar w:fldCharType="begin"/>
      </w:r>
      <w:r>
        <w:rPr>
          <w:rFonts w:hint="eastAsia" w:ascii="方正小标宋简体" w:hAnsi="方正小标宋简体" w:eastAsia="方正小标宋简体" w:cs="方正小标宋简体"/>
          <w:color w:val="auto"/>
          <w:u w:val="none"/>
        </w:rPr>
        <w:instrText xml:space="preserve"> PAGEREF _Toc3500 \h </w:instrText>
      </w:r>
      <w:r>
        <w:rPr>
          <w:rFonts w:hint="eastAsia" w:ascii="方正小标宋简体" w:hAnsi="方正小标宋简体" w:eastAsia="方正小标宋简体" w:cs="方正小标宋简体"/>
          <w:color w:val="auto"/>
          <w:u w:val="none"/>
        </w:rPr>
        <w:fldChar w:fldCharType="separate"/>
      </w:r>
      <w:r>
        <w:rPr>
          <w:rFonts w:hint="eastAsia" w:ascii="方正小标宋简体" w:hAnsi="方正小标宋简体" w:eastAsia="方正小标宋简体" w:cs="方正小标宋简体"/>
          <w:color w:val="auto"/>
          <w:u w:val="none"/>
        </w:rPr>
        <w:t>27</w:t>
      </w:r>
      <w:r>
        <w:rPr>
          <w:rFonts w:hint="eastAsia" w:ascii="方正小标宋简体" w:hAnsi="方正小标宋简体" w:eastAsia="方正小标宋简体" w:cs="方正小标宋简体"/>
          <w:color w:val="auto"/>
          <w:u w:val="none"/>
        </w:rPr>
        <w:fldChar w:fldCharType="end"/>
      </w:r>
      <w:r>
        <w:rPr>
          <w:rFonts w:hint="eastAsia" w:ascii="方正小标宋简体" w:hAnsi="方正小标宋简体" w:eastAsia="方正小标宋简体" w:cs="方正小标宋简体"/>
          <w:color w:val="auto"/>
          <w:u w:val="none"/>
          <w:lang w:val="en-US" w:eastAsia="zh-CN"/>
        </w:rPr>
        <w:fldChar w:fldCharType="end"/>
      </w:r>
    </w:p>
    <w:p>
      <w:pPr>
        <w:pStyle w:val="25"/>
        <w:tabs>
          <w:tab w:val="right" w:leader="dot" w:pos="8306"/>
        </w:tabs>
        <w:rPr>
          <w:rFonts w:hint="eastAsia" w:ascii="方正小标宋简体" w:hAnsi="方正小标宋简体" w:eastAsia="方正小标宋简体" w:cs="方正小标宋简体"/>
          <w:color w:val="auto"/>
          <w:u w:val="none"/>
        </w:rPr>
      </w:pPr>
      <w:r>
        <w:rPr>
          <w:rFonts w:hint="eastAsia" w:ascii="方正小标宋简体" w:hAnsi="方正小标宋简体" w:eastAsia="方正小标宋简体" w:cs="方正小标宋简体"/>
          <w:color w:val="auto"/>
          <w:u w:val="none"/>
          <w:lang w:val="en-US" w:eastAsia="zh-CN"/>
        </w:rPr>
        <w:fldChar w:fldCharType="begin"/>
      </w:r>
      <w:r>
        <w:rPr>
          <w:rFonts w:hint="eastAsia" w:ascii="方正小标宋简体" w:hAnsi="方正小标宋简体" w:eastAsia="方正小标宋简体" w:cs="方正小标宋简体"/>
          <w:color w:val="auto"/>
          <w:u w:val="none"/>
          <w:lang w:val="en-US" w:eastAsia="zh-CN"/>
        </w:rPr>
        <w:instrText xml:space="preserve"> HYPERLINK \l _Toc19440 </w:instrText>
      </w:r>
      <w:r>
        <w:rPr>
          <w:rFonts w:hint="eastAsia" w:ascii="方正小标宋简体" w:hAnsi="方正小标宋简体" w:eastAsia="方正小标宋简体" w:cs="方正小标宋简体"/>
          <w:color w:val="auto"/>
          <w:u w:val="none"/>
          <w:lang w:val="en-US" w:eastAsia="zh-CN"/>
        </w:rPr>
        <w:fldChar w:fldCharType="separate"/>
      </w:r>
      <w:r>
        <w:rPr>
          <w:rFonts w:hint="eastAsia" w:ascii="方正小标宋简体" w:hAnsi="方正小标宋简体" w:eastAsia="方正小标宋简体" w:cs="方正小标宋简体"/>
          <w:color w:val="auto"/>
          <w:u w:val="none"/>
          <w:lang w:val="en-US" w:eastAsia="zh-CN"/>
        </w:rPr>
        <w:t>（二）端正工作作风</w:t>
      </w:r>
      <w:r>
        <w:rPr>
          <w:rFonts w:hint="eastAsia" w:ascii="方正小标宋简体" w:hAnsi="方正小标宋简体" w:eastAsia="方正小标宋简体" w:cs="方正小标宋简体"/>
          <w:color w:val="auto"/>
          <w:u w:val="none"/>
        </w:rPr>
        <w:tab/>
      </w:r>
      <w:r>
        <w:rPr>
          <w:rFonts w:hint="eastAsia" w:ascii="方正小标宋简体" w:hAnsi="方正小标宋简体" w:eastAsia="方正小标宋简体" w:cs="方正小标宋简体"/>
          <w:color w:val="auto"/>
          <w:u w:val="none"/>
        </w:rPr>
        <w:fldChar w:fldCharType="begin"/>
      </w:r>
      <w:r>
        <w:rPr>
          <w:rFonts w:hint="eastAsia" w:ascii="方正小标宋简体" w:hAnsi="方正小标宋简体" w:eastAsia="方正小标宋简体" w:cs="方正小标宋简体"/>
          <w:color w:val="auto"/>
          <w:u w:val="none"/>
        </w:rPr>
        <w:instrText xml:space="preserve"> PAGEREF _Toc19440 \h </w:instrText>
      </w:r>
      <w:r>
        <w:rPr>
          <w:rFonts w:hint="eastAsia" w:ascii="方正小标宋简体" w:hAnsi="方正小标宋简体" w:eastAsia="方正小标宋简体" w:cs="方正小标宋简体"/>
          <w:color w:val="auto"/>
          <w:u w:val="none"/>
        </w:rPr>
        <w:fldChar w:fldCharType="separate"/>
      </w:r>
      <w:r>
        <w:rPr>
          <w:rFonts w:hint="eastAsia" w:ascii="方正小标宋简体" w:hAnsi="方正小标宋简体" w:eastAsia="方正小标宋简体" w:cs="方正小标宋简体"/>
          <w:color w:val="auto"/>
          <w:u w:val="none"/>
        </w:rPr>
        <w:t>29</w:t>
      </w:r>
      <w:r>
        <w:rPr>
          <w:rFonts w:hint="eastAsia" w:ascii="方正小标宋简体" w:hAnsi="方正小标宋简体" w:eastAsia="方正小标宋简体" w:cs="方正小标宋简体"/>
          <w:color w:val="auto"/>
          <w:u w:val="none"/>
        </w:rPr>
        <w:fldChar w:fldCharType="end"/>
      </w:r>
      <w:r>
        <w:rPr>
          <w:rFonts w:hint="eastAsia" w:ascii="方正小标宋简体" w:hAnsi="方正小标宋简体" w:eastAsia="方正小标宋简体" w:cs="方正小标宋简体"/>
          <w:color w:val="auto"/>
          <w:u w:val="none"/>
          <w:lang w:val="en-US" w:eastAsia="zh-CN"/>
        </w:rPr>
        <w:fldChar w:fldCharType="end"/>
      </w:r>
    </w:p>
    <w:p>
      <w:pPr>
        <w:pStyle w:val="23"/>
        <w:tabs>
          <w:tab w:val="right" w:leader="dot" w:pos="8306"/>
        </w:tabs>
        <w:rPr>
          <w:rFonts w:hint="eastAsia" w:ascii="方正小标宋简体" w:hAnsi="方正小标宋简体" w:eastAsia="方正小标宋简体" w:cs="方正小标宋简体"/>
          <w:color w:val="auto"/>
          <w:u w:val="none"/>
        </w:rPr>
      </w:pPr>
      <w:r>
        <w:rPr>
          <w:rFonts w:hint="eastAsia" w:ascii="方正小标宋简体" w:hAnsi="方正小标宋简体" w:eastAsia="方正小标宋简体" w:cs="方正小标宋简体"/>
          <w:color w:val="auto"/>
          <w:u w:val="none"/>
          <w:lang w:val="en-US" w:eastAsia="zh-CN"/>
        </w:rPr>
        <w:fldChar w:fldCharType="begin"/>
      </w:r>
      <w:r>
        <w:rPr>
          <w:rFonts w:hint="eastAsia" w:ascii="方正小标宋简体" w:hAnsi="方正小标宋简体" w:eastAsia="方正小标宋简体" w:cs="方正小标宋简体"/>
          <w:color w:val="auto"/>
          <w:u w:val="none"/>
          <w:lang w:val="en-US" w:eastAsia="zh-CN"/>
        </w:rPr>
        <w:instrText xml:space="preserve"> HYPERLINK \l _Toc18719 </w:instrText>
      </w:r>
      <w:r>
        <w:rPr>
          <w:rFonts w:hint="eastAsia" w:ascii="方正小标宋简体" w:hAnsi="方正小标宋简体" w:eastAsia="方正小标宋简体" w:cs="方正小标宋简体"/>
          <w:color w:val="auto"/>
          <w:u w:val="none"/>
          <w:lang w:val="en-US" w:eastAsia="zh-CN"/>
        </w:rPr>
        <w:fldChar w:fldCharType="separate"/>
      </w:r>
      <w:r>
        <w:rPr>
          <w:rFonts w:hint="eastAsia" w:ascii="方正小标宋简体" w:hAnsi="方正小标宋简体" w:eastAsia="方正小标宋简体" w:cs="方正小标宋简体"/>
          <w:color w:val="auto"/>
          <w:u w:val="none"/>
          <w:lang w:val="en-US" w:eastAsia="zh-CN"/>
        </w:rPr>
        <w:t>第三章 “十四五”期间救助服务展望</w:t>
      </w:r>
      <w:r>
        <w:rPr>
          <w:rFonts w:hint="eastAsia" w:ascii="方正小标宋简体" w:hAnsi="方正小标宋简体" w:eastAsia="方正小标宋简体" w:cs="方正小标宋简体"/>
          <w:color w:val="auto"/>
          <w:u w:val="none"/>
        </w:rPr>
        <w:tab/>
      </w:r>
      <w:r>
        <w:rPr>
          <w:rFonts w:hint="eastAsia" w:ascii="方正小标宋简体" w:hAnsi="方正小标宋简体" w:eastAsia="方正小标宋简体" w:cs="方正小标宋简体"/>
          <w:color w:val="auto"/>
          <w:u w:val="none"/>
        </w:rPr>
        <w:fldChar w:fldCharType="begin"/>
      </w:r>
      <w:r>
        <w:rPr>
          <w:rFonts w:hint="eastAsia" w:ascii="方正小标宋简体" w:hAnsi="方正小标宋简体" w:eastAsia="方正小标宋简体" w:cs="方正小标宋简体"/>
          <w:color w:val="auto"/>
          <w:u w:val="none"/>
        </w:rPr>
        <w:instrText xml:space="preserve"> PAGEREF _Toc18719 \h </w:instrText>
      </w:r>
      <w:r>
        <w:rPr>
          <w:rFonts w:hint="eastAsia" w:ascii="方正小标宋简体" w:hAnsi="方正小标宋简体" w:eastAsia="方正小标宋简体" w:cs="方正小标宋简体"/>
          <w:color w:val="auto"/>
          <w:u w:val="none"/>
        </w:rPr>
        <w:fldChar w:fldCharType="separate"/>
      </w:r>
      <w:r>
        <w:rPr>
          <w:rFonts w:hint="eastAsia" w:ascii="方正小标宋简体" w:hAnsi="方正小标宋简体" w:eastAsia="方正小标宋简体" w:cs="方正小标宋简体"/>
          <w:color w:val="auto"/>
          <w:u w:val="none"/>
        </w:rPr>
        <w:t>31</w:t>
      </w:r>
      <w:r>
        <w:rPr>
          <w:rFonts w:hint="eastAsia" w:ascii="方正小标宋简体" w:hAnsi="方正小标宋简体" w:eastAsia="方正小标宋简体" w:cs="方正小标宋简体"/>
          <w:color w:val="auto"/>
          <w:u w:val="none"/>
        </w:rPr>
        <w:fldChar w:fldCharType="end"/>
      </w:r>
      <w:r>
        <w:rPr>
          <w:rFonts w:hint="eastAsia" w:ascii="方正小标宋简体" w:hAnsi="方正小标宋简体" w:eastAsia="方正小标宋简体" w:cs="方正小标宋简体"/>
          <w:color w:val="auto"/>
          <w:u w:val="none"/>
          <w:lang w:val="en-US" w:eastAsia="zh-CN"/>
        </w:rPr>
        <w:fldChar w:fldCharType="end"/>
      </w:r>
    </w:p>
    <w:p>
      <w:pPr>
        <w:pStyle w:val="24"/>
        <w:tabs>
          <w:tab w:val="right" w:leader="dot" w:pos="8306"/>
        </w:tabs>
        <w:rPr>
          <w:rFonts w:hint="eastAsia" w:ascii="方正小标宋简体" w:hAnsi="方正小标宋简体" w:eastAsia="方正小标宋简体" w:cs="方正小标宋简体"/>
          <w:color w:val="auto"/>
          <w:u w:val="none"/>
        </w:rPr>
      </w:pPr>
      <w:r>
        <w:rPr>
          <w:rFonts w:hint="eastAsia" w:ascii="方正小标宋简体" w:hAnsi="方正小标宋简体" w:eastAsia="方正小标宋简体" w:cs="方正小标宋简体"/>
          <w:color w:val="auto"/>
          <w:u w:val="none"/>
          <w:lang w:val="en-US" w:eastAsia="zh-CN"/>
        </w:rPr>
        <w:fldChar w:fldCharType="begin"/>
      </w:r>
      <w:r>
        <w:rPr>
          <w:rFonts w:hint="eastAsia" w:ascii="方正小标宋简体" w:hAnsi="方正小标宋简体" w:eastAsia="方正小标宋简体" w:cs="方正小标宋简体"/>
          <w:color w:val="auto"/>
          <w:u w:val="none"/>
          <w:lang w:val="en-US" w:eastAsia="zh-CN"/>
        </w:rPr>
        <w:instrText xml:space="preserve"> HYPERLINK \l _Toc4430 </w:instrText>
      </w:r>
      <w:r>
        <w:rPr>
          <w:rFonts w:hint="eastAsia" w:ascii="方正小标宋简体" w:hAnsi="方正小标宋简体" w:eastAsia="方正小标宋简体" w:cs="方正小标宋简体"/>
          <w:color w:val="auto"/>
          <w:u w:val="none"/>
          <w:lang w:val="en-US" w:eastAsia="zh-CN"/>
        </w:rPr>
        <w:fldChar w:fldCharType="separate"/>
      </w:r>
      <w:r>
        <w:rPr>
          <w:rFonts w:hint="eastAsia" w:ascii="方正小标宋简体" w:hAnsi="方正小标宋简体" w:eastAsia="方正小标宋简体" w:cs="方正小标宋简体"/>
          <w:color w:val="auto"/>
          <w:u w:val="none"/>
          <w:lang w:val="en-US" w:eastAsia="zh-CN"/>
        </w:rPr>
        <w:t>一、优化救助形式，持续增强救助精准性</w:t>
      </w:r>
      <w:r>
        <w:rPr>
          <w:rFonts w:hint="eastAsia" w:ascii="方正小标宋简体" w:hAnsi="方正小标宋简体" w:eastAsia="方正小标宋简体" w:cs="方正小标宋简体"/>
          <w:color w:val="auto"/>
          <w:u w:val="none"/>
        </w:rPr>
        <w:tab/>
      </w:r>
      <w:r>
        <w:rPr>
          <w:rFonts w:hint="eastAsia" w:ascii="方正小标宋简体" w:hAnsi="方正小标宋简体" w:eastAsia="方正小标宋简体" w:cs="方正小标宋简体"/>
          <w:color w:val="auto"/>
          <w:u w:val="none"/>
        </w:rPr>
        <w:fldChar w:fldCharType="begin"/>
      </w:r>
      <w:r>
        <w:rPr>
          <w:rFonts w:hint="eastAsia" w:ascii="方正小标宋简体" w:hAnsi="方正小标宋简体" w:eastAsia="方正小标宋简体" w:cs="方正小标宋简体"/>
          <w:color w:val="auto"/>
          <w:u w:val="none"/>
        </w:rPr>
        <w:instrText xml:space="preserve"> PAGEREF _Toc4430 \h </w:instrText>
      </w:r>
      <w:r>
        <w:rPr>
          <w:rFonts w:hint="eastAsia" w:ascii="方正小标宋简体" w:hAnsi="方正小标宋简体" w:eastAsia="方正小标宋简体" w:cs="方正小标宋简体"/>
          <w:color w:val="auto"/>
          <w:u w:val="none"/>
        </w:rPr>
        <w:fldChar w:fldCharType="separate"/>
      </w:r>
      <w:r>
        <w:rPr>
          <w:rFonts w:hint="eastAsia" w:ascii="方正小标宋简体" w:hAnsi="方正小标宋简体" w:eastAsia="方正小标宋简体" w:cs="方正小标宋简体"/>
          <w:color w:val="auto"/>
          <w:u w:val="none"/>
        </w:rPr>
        <w:t>31</w:t>
      </w:r>
      <w:r>
        <w:rPr>
          <w:rFonts w:hint="eastAsia" w:ascii="方正小标宋简体" w:hAnsi="方正小标宋简体" w:eastAsia="方正小标宋简体" w:cs="方正小标宋简体"/>
          <w:color w:val="auto"/>
          <w:u w:val="none"/>
        </w:rPr>
        <w:fldChar w:fldCharType="end"/>
      </w:r>
      <w:r>
        <w:rPr>
          <w:rFonts w:hint="eastAsia" w:ascii="方正小标宋简体" w:hAnsi="方正小标宋简体" w:eastAsia="方正小标宋简体" w:cs="方正小标宋简体"/>
          <w:color w:val="auto"/>
          <w:u w:val="none"/>
          <w:lang w:val="en-US" w:eastAsia="zh-CN"/>
        </w:rPr>
        <w:fldChar w:fldCharType="end"/>
      </w:r>
    </w:p>
    <w:p>
      <w:pPr>
        <w:pStyle w:val="24"/>
        <w:tabs>
          <w:tab w:val="right" w:leader="dot" w:pos="8306"/>
        </w:tabs>
        <w:rPr>
          <w:rFonts w:hint="eastAsia" w:ascii="方正小标宋简体" w:hAnsi="方正小标宋简体" w:eastAsia="方正小标宋简体" w:cs="方正小标宋简体"/>
          <w:color w:val="auto"/>
          <w:u w:val="none"/>
        </w:rPr>
      </w:pPr>
      <w:r>
        <w:rPr>
          <w:rFonts w:hint="eastAsia" w:ascii="方正小标宋简体" w:hAnsi="方正小标宋简体" w:eastAsia="方正小标宋简体" w:cs="方正小标宋简体"/>
          <w:color w:val="auto"/>
          <w:u w:val="none"/>
          <w:lang w:val="en-US" w:eastAsia="zh-CN"/>
        </w:rPr>
        <w:fldChar w:fldCharType="begin"/>
      </w:r>
      <w:r>
        <w:rPr>
          <w:rFonts w:hint="eastAsia" w:ascii="方正小标宋简体" w:hAnsi="方正小标宋简体" w:eastAsia="方正小标宋简体" w:cs="方正小标宋简体"/>
          <w:color w:val="auto"/>
          <w:u w:val="none"/>
          <w:lang w:val="en-US" w:eastAsia="zh-CN"/>
        </w:rPr>
        <w:instrText xml:space="preserve"> HYPERLINK \l _Toc20990 </w:instrText>
      </w:r>
      <w:r>
        <w:rPr>
          <w:rFonts w:hint="eastAsia" w:ascii="方正小标宋简体" w:hAnsi="方正小标宋简体" w:eastAsia="方正小标宋简体" w:cs="方正小标宋简体"/>
          <w:color w:val="auto"/>
          <w:u w:val="none"/>
          <w:lang w:val="en-US" w:eastAsia="zh-CN"/>
        </w:rPr>
        <w:fldChar w:fldCharType="separate"/>
      </w:r>
      <w:r>
        <w:rPr>
          <w:rFonts w:hint="eastAsia" w:ascii="方正小标宋简体" w:hAnsi="方正小标宋简体" w:eastAsia="方正小标宋简体" w:cs="方正小标宋简体"/>
          <w:color w:val="auto"/>
          <w:u w:val="none"/>
          <w:lang w:val="en-US" w:eastAsia="zh-CN"/>
        </w:rPr>
        <w:t>二、优化项目结构，持续加强发展能力</w:t>
      </w:r>
      <w:r>
        <w:rPr>
          <w:rFonts w:hint="eastAsia" w:ascii="方正小标宋简体" w:hAnsi="方正小标宋简体" w:eastAsia="方正小标宋简体" w:cs="方正小标宋简体"/>
          <w:color w:val="auto"/>
          <w:u w:val="none"/>
        </w:rPr>
        <w:tab/>
      </w:r>
      <w:r>
        <w:rPr>
          <w:rFonts w:hint="eastAsia" w:ascii="方正小标宋简体" w:hAnsi="方正小标宋简体" w:eastAsia="方正小标宋简体" w:cs="方正小标宋简体"/>
          <w:color w:val="auto"/>
          <w:u w:val="none"/>
        </w:rPr>
        <w:fldChar w:fldCharType="begin"/>
      </w:r>
      <w:r>
        <w:rPr>
          <w:rFonts w:hint="eastAsia" w:ascii="方正小标宋简体" w:hAnsi="方正小标宋简体" w:eastAsia="方正小标宋简体" w:cs="方正小标宋简体"/>
          <w:color w:val="auto"/>
          <w:u w:val="none"/>
        </w:rPr>
        <w:instrText xml:space="preserve"> PAGEREF _Toc20990 \h </w:instrText>
      </w:r>
      <w:r>
        <w:rPr>
          <w:rFonts w:hint="eastAsia" w:ascii="方正小标宋简体" w:hAnsi="方正小标宋简体" w:eastAsia="方正小标宋简体" w:cs="方正小标宋简体"/>
          <w:color w:val="auto"/>
          <w:u w:val="none"/>
        </w:rPr>
        <w:fldChar w:fldCharType="separate"/>
      </w:r>
      <w:r>
        <w:rPr>
          <w:rFonts w:hint="eastAsia" w:ascii="方正小标宋简体" w:hAnsi="方正小标宋简体" w:eastAsia="方正小标宋简体" w:cs="方正小标宋简体"/>
          <w:color w:val="auto"/>
          <w:u w:val="none"/>
        </w:rPr>
        <w:t>32</w:t>
      </w:r>
      <w:r>
        <w:rPr>
          <w:rFonts w:hint="eastAsia" w:ascii="方正小标宋简体" w:hAnsi="方正小标宋简体" w:eastAsia="方正小标宋简体" w:cs="方正小标宋简体"/>
          <w:color w:val="auto"/>
          <w:u w:val="none"/>
        </w:rPr>
        <w:fldChar w:fldCharType="end"/>
      </w:r>
      <w:r>
        <w:rPr>
          <w:rFonts w:hint="eastAsia" w:ascii="方正小标宋简体" w:hAnsi="方正小标宋简体" w:eastAsia="方正小标宋简体" w:cs="方正小标宋简体"/>
          <w:color w:val="auto"/>
          <w:u w:val="none"/>
          <w:lang w:val="en-US" w:eastAsia="zh-CN"/>
        </w:rPr>
        <w:fldChar w:fldCharType="end"/>
      </w:r>
    </w:p>
    <w:p>
      <w:pPr>
        <w:pStyle w:val="24"/>
        <w:tabs>
          <w:tab w:val="right" w:leader="dot" w:pos="8306"/>
        </w:tabs>
        <w:rPr>
          <w:rFonts w:hint="default" w:ascii="方正小标宋简体" w:hAnsi="方正小标宋简体" w:eastAsia="方正小标宋简体" w:cs="方正小标宋简体"/>
          <w:color w:val="auto"/>
          <w:u w:val="none"/>
          <w:lang w:val="en-US"/>
        </w:rPr>
      </w:pPr>
      <w:r>
        <w:rPr>
          <w:rFonts w:hint="eastAsia" w:ascii="方正小标宋简体" w:hAnsi="方正小标宋简体" w:eastAsia="方正小标宋简体" w:cs="方正小标宋简体"/>
          <w:color w:val="auto"/>
          <w:u w:val="none"/>
          <w:lang w:val="en-US" w:eastAsia="zh-CN"/>
        </w:rPr>
        <w:fldChar w:fldCharType="begin"/>
      </w:r>
      <w:r>
        <w:rPr>
          <w:rFonts w:hint="eastAsia" w:ascii="方正小标宋简体" w:hAnsi="方正小标宋简体" w:eastAsia="方正小标宋简体" w:cs="方正小标宋简体"/>
          <w:color w:val="auto"/>
          <w:u w:val="none"/>
          <w:lang w:val="en-US" w:eastAsia="zh-CN"/>
        </w:rPr>
        <w:instrText xml:space="preserve"> HYPERLINK \l _Toc31462 </w:instrText>
      </w:r>
      <w:r>
        <w:rPr>
          <w:rFonts w:hint="eastAsia" w:ascii="方正小标宋简体" w:hAnsi="方正小标宋简体" w:eastAsia="方正小标宋简体" w:cs="方正小标宋简体"/>
          <w:color w:val="auto"/>
          <w:u w:val="none"/>
          <w:lang w:val="en-US" w:eastAsia="zh-CN"/>
        </w:rPr>
        <w:fldChar w:fldCharType="separate"/>
      </w:r>
      <w:r>
        <w:rPr>
          <w:rFonts w:hint="eastAsia" w:ascii="方正小标宋简体" w:hAnsi="方正小标宋简体" w:eastAsia="方正小标宋简体" w:cs="方正小标宋简体"/>
          <w:color w:val="auto"/>
          <w:u w:val="none"/>
          <w:lang w:val="en-US" w:eastAsia="zh-CN"/>
        </w:rPr>
        <w:t>三、深度融合，提升救助服务精准度</w:t>
      </w:r>
      <w:r>
        <w:rPr>
          <w:rFonts w:hint="eastAsia" w:ascii="方正小标宋简体" w:hAnsi="方正小标宋简体" w:eastAsia="方正小标宋简体" w:cs="方正小标宋简体"/>
          <w:color w:val="auto"/>
          <w:u w:val="none"/>
        </w:rPr>
        <w:tab/>
      </w:r>
      <w:r>
        <w:rPr>
          <w:rFonts w:hint="eastAsia" w:ascii="方正小标宋简体" w:hAnsi="方正小标宋简体" w:eastAsia="方正小标宋简体" w:cs="方正小标宋简体"/>
          <w:color w:val="auto"/>
          <w:u w:val="none"/>
          <w:lang w:val="en-US" w:eastAsia="zh-CN"/>
        </w:rPr>
        <w:t>3</w:t>
      </w:r>
      <w:r>
        <w:rPr>
          <w:rFonts w:hint="eastAsia" w:ascii="方正小标宋简体" w:hAnsi="方正小标宋简体" w:eastAsia="方正小标宋简体" w:cs="方正小标宋简体"/>
          <w:color w:val="auto"/>
          <w:u w:val="none"/>
          <w:lang w:val="en-US" w:eastAsia="zh-CN"/>
        </w:rPr>
        <w:fldChar w:fldCharType="end"/>
      </w:r>
      <w:r>
        <w:rPr>
          <w:rFonts w:hint="eastAsia" w:ascii="方正小标宋简体" w:hAnsi="方正小标宋简体" w:eastAsia="方正小标宋简体" w:cs="方正小标宋简体"/>
          <w:color w:val="auto"/>
          <w:u w:val="none"/>
          <w:lang w:val="en-US" w:eastAsia="zh-CN"/>
        </w:rPr>
        <w:t>3</w:t>
      </w:r>
    </w:p>
    <w:p>
      <w:pPr>
        <w:pStyle w:val="24"/>
        <w:tabs>
          <w:tab w:val="right" w:leader="dot" w:pos="8306"/>
        </w:tabs>
        <w:rPr>
          <w:rFonts w:hint="eastAsia" w:ascii="方正小标宋简体" w:hAnsi="方正小标宋简体" w:eastAsia="方正小标宋简体" w:cs="方正小标宋简体"/>
          <w:color w:val="auto"/>
          <w:u w:val="none"/>
        </w:rPr>
      </w:pPr>
      <w:r>
        <w:rPr>
          <w:rFonts w:hint="eastAsia" w:ascii="方正小标宋简体" w:hAnsi="方正小标宋简体" w:eastAsia="方正小标宋简体" w:cs="方正小标宋简体"/>
          <w:color w:val="auto"/>
          <w:u w:val="none"/>
          <w:lang w:val="en-US" w:eastAsia="zh-CN"/>
        </w:rPr>
        <w:fldChar w:fldCharType="begin"/>
      </w:r>
      <w:r>
        <w:rPr>
          <w:rFonts w:hint="eastAsia" w:ascii="方正小标宋简体" w:hAnsi="方正小标宋简体" w:eastAsia="方正小标宋简体" w:cs="方正小标宋简体"/>
          <w:color w:val="auto"/>
          <w:u w:val="none"/>
          <w:lang w:val="en-US" w:eastAsia="zh-CN"/>
        </w:rPr>
        <w:instrText xml:space="preserve"> HYPERLINK \l _Toc23355 </w:instrText>
      </w:r>
      <w:r>
        <w:rPr>
          <w:rFonts w:hint="eastAsia" w:ascii="方正小标宋简体" w:hAnsi="方正小标宋简体" w:eastAsia="方正小标宋简体" w:cs="方正小标宋简体"/>
          <w:color w:val="auto"/>
          <w:u w:val="none"/>
          <w:lang w:val="en-US" w:eastAsia="zh-CN"/>
        </w:rPr>
        <w:fldChar w:fldCharType="separate"/>
      </w:r>
      <w:r>
        <w:rPr>
          <w:rFonts w:hint="eastAsia" w:ascii="方正小标宋简体" w:hAnsi="方正小标宋简体" w:eastAsia="方正小标宋简体" w:cs="方正小标宋简体"/>
          <w:color w:val="auto"/>
          <w:u w:val="none"/>
          <w:lang w:val="en-US" w:eastAsia="zh-CN"/>
        </w:rPr>
        <w:t>四、集聚慈善枢纽，建立多元救助体系</w:t>
      </w:r>
      <w:r>
        <w:rPr>
          <w:rFonts w:hint="eastAsia" w:ascii="方正小标宋简体" w:hAnsi="方正小标宋简体" w:eastAsia="方正小标宋简体" w:cs="方正小标宋简体"/>
          <w:color w:val="auto"/>
          <w:u w:val="none"/>
        </w:rPr>
        <w:tab/>
      </w:r>
      <w:r>
        <w:rPr>
          <w:rFonts w:hint="eastAsia" w:ascii="方正小标宋简体" w:hAnsi="方正小标宋简体" w:eastAsia="方正小标宋简体" w:cs="方正小标宋简体"/>
          <w:color w:val="auto"/>
          <w:u w:val="none"/>
        </w:rPr>
        <w:fldChar w:fldCharType="begin"/>
      </w:r>
      <w:r>
        <w:rPr>
          <w:rFonts w:hint="eastAsia" w:ascii="方正小标宋简体" w:hAnsi="方正小标宋简体" w:eastAsia="方正小标宋简体" w:cs="方正小标宋简体"/>
          <w:color w:val="auto"/>
          <w:u w:val="none"/>
        </w:rPr>
        <w:instrText xml:space="preserve"> PAGEREF _Toc23355 \h </w:instrText>
      </w:r>
      <w:r>
        <w:rPr>
          <w:rFonts w:hint="eastAsia" w:ascii="方正小标宋简体" w:hAnsi="方正小标宋简体" w:eastAsia="方正小标宋简体" w:cs="方正小标宋简体"/>
          <w:color w:val="auto"/>
          <w:u w:val="none"/>
        </w:rPr>
        <w:fldChar w:fldCharType="separate"/>
      </w:r>
      <w:r>
        <w:rPr>
          <w:rFonts w:hint="eastAsia" w:ascii="方正小标宋简体" w:hAnsi="方正小标宋简体" w:eastAsia="方正小标宋简体" w:cs="方正小标宋简体"/>
          <w:color w:val="auto"/>
          <w:u w:val="none"/>
        </w:rPr>
        <w:t>34</w:t>
      </w:r>
      <w:r>
        <w:rPr>
          <w:rFonts w:hint="eastAsia" w:ascii="方正小标宋简体" w:hAnsi="方正小标宋简体" w:eastAsia="方正小标宋简体" w:cs="方正小标宋简体"/>
          <w:color w:val="auto"/>
          <w:u w:val="none"/>
        </w:rPr>
        <w:fldChar w:fldCharType="end"/>
      </w:r>
      <w:r>
        <w:rPr>
          <w:rFonts w:hint="eastAsia" w:ascii="方正小标宋简体" w:hAnsi="方正小标宋简体" w:eastAsia="方正小标宋简体" w:cs="方正小标宋简体"/>
          <w:color w:val="auto"/>
          <w:u w:val="none"/>
          <w:lang w:val="en-US" w:eastAsia="zh-CN"/>
        </w:rPr>
        <w:fldChar w:fldCharType="end"/>
      </w:r>
    </w:p>
    <w:p>
      <w:pPr>
        <w:pStyle w:val="24"/>
        <w:tabs>
          <w:tab w:val="right" w:leader="dot" w:pos="8306"/>
        </w:tabs>
        <w:rPr>
          <w:rFonts w:hint="eastAsia" w:ascii="方正小标宋简体" w:hAnsi="方正小标宋简体" w:eastAsia="方正小标宋简体" w:cs="方正小标宋简体"/>
          <w:color w:val="auto"/>
          <w:u w:val="none"/>
          <w:lang w:val="en-US" w:eastAsia="zh-CN"/>
        </w:rPr>
      </w:pPr>
      <w:r>
        <w:rPr>
          <w:rFonts w:hint="eastAsia" w:ascii="方正小标宋简体" w:hAnsi="方正小标宋简体" w:eastAsia="方正小标宋简体" w:cs="方正小标宋简体"/>
          <w:color w:val="auto"/>
          <w:u w:val="none"/>
          <w:lang w:val="en-US" w:eastAsia="zh-CN"/>
        </w:rPr>
        <w:fldChar w:fldCharType="begin"/>
      </w:r>
      <w:r>
        <w:rPr>
          <w:rFonts w:hint="eastAsia" w:ascii="方正小标宋简体" w:hAnsi="方正小标宋简体" w:eastAsia="方正小标宋简体" w:cs="方正小标宋简体"/>
          <w:color w:val="auto"/>
          <w:u w:val="none"/>
          <w:lang w:val="en-US" w:eastAsia="zh-CN"/>
        </w:rPr>
        <w:instrText xml:space="preserve"> HYPERLINK \l _Toc5443 </w:instrText>
      </w:r>
      <w:r>
        <w:rPr>
          <w:rFonts w:hint="eastAsia" w:ascii="方正小标宋简体" w:hAnsi="方正小标宋简体" w:eastAsia="方正小标宋简体" w:cs="方正小标宋简体"/>
          <w:color w:val="auto"/>
          <w:u w:val="none"/>
          <w:lang w:val="en-US" w:eastAsia="zh-CN"/>
        </w:rPr>
        <w:fldChar w:fldCharType="separate"/>
      </w:r>
      <w:r>
        <w:rPr>
          <w:rFonts w:hint="eastAsia" w:ascii="方正小标宋简体" w:hAnsi="方正小标宋简体" w:eastAsia="方正小标宋简体" w:cs="方正小标宋简体"/>
          <w:color w:val="auto"/>
          <w:u w:val="none"/>
          <w:lang w:val="en-US" w:eastAsia="zh-CN"/>
        </w:rPr>
        <w:t>五、深化救助改革，发展服务型救助项目</w:t>
      </w:r>
      <w:r>
        <w:rPr>
          <w:rFonts w:hint="eastAsia" w:ascii="方正小标宋简体" w:hAnsi="方正小标宋简体" w:eastAsia="方正小标宋简体" w:cs="方正小标宋简体"/>
          <w:color w:val="auto"/>
          <w:u w:val="none"/>
        </w:rPr>
        <w:tab/>
      </w:r>
      <w:r>
        <w:rPr>
          <w:rFonts w:hint="eastAsia" w:ascii="方正小标宋简体" w:hAnsi="方正小标宋简体" w:eastAsia="方正小标宋简体" w:cs="方正小标宋简体"/>
          <w:color w:val="auto"/>
          <w:u w:val="none"/>
        </w:rPr>
        <w:fldChar w:fldCharType="begin"/>
      </w:r>
      <w:r>
        <w:rPr>
          <w:rFonts w:hint="eastAsia" w:ascii="方正小标宋简体" w:hAnsi="方正小标宋简体" w:eastAsia="方正小标宋简体" w:cs="方正小标宋简体"/>
          <w:color w:val="auto"/>
          <w:u w:val="none"/>
        </w:rPr>
        <w:instrText xml:space="preserve"> PAGEREF _Toc5443 \h </w:instrText>
      </w:r>
      <w:r>
        <w:rPr>
          <w:rFonts w:hint="eastAsia" w:ascii="方正小标宋简体" w:hAnsi="方正小标宋简体" w:eastAsia="方正小标宋简体" w:cs="方正小标宋简体"/>
          <w:color w:val="auto"/>
          <w:u w:val="none"/>
        </w:rPr>
        <w:fldChar w:fldCharType="separate"/>
      </w:r>
      <w:r>
        <w:rPr>
          <w:rFonts w:hint="eastAsia" w:ascii="方正小标宋简体" w:hAnsi="方正小标宋简体" w:eastAsia="方正小标宋简体" w:cs="方正小标宋简体"/>
          <w:color w:val="auto"/>
          <w:u w:val="none"/>
        </w:rPr>
        <w:t>35</w:t>
      </w:r>
      <w:r>
        <w:rPr>
          <w:rFonts w:hint="eastAsia" w:ascii="方正小标宋简体" w:hAnsi="方正小标宋简体" w:eastAsia="方正小标宋简体" w:cs="方正小标宋简体"/>
          <w:color w:val="auto"/>
          <w:u w:val="none"/>
        </w:rPr>
        <w:fldChar w:fldCharType="end"/>
      </w:r>
      <w:r>
        <w:rPr>
          <w:rFonts w:hint="eastAsia" w:ascii="方正小标宋简体" w:hAnsi="方正小标宋简体" w:eastAsia="方正小标宋简体" w:cs="方正小标宋简体"/>
          <w:color w:val="auto"/>
          <w:u w:val="none"/>
          <w:lang w:val="en-US" w:eastAsia="zh-CN"/>
        </w:rPr>
        <w:fldChar w:fldCharType="end"/>
      </w:r>
    </w:p>
    <w:p>
      <w:pPr>
        <w:pStyle w:val="2"/>
        <w:rPr>
          <w:rFonts w:hint="eastAsia" w:ascii="方正小标宋简体" w:hAnsi="方正小标宋简体" w:eastAsia="方正小标宋简体" w:cs="方正小标宋简体"/>
          <w:color w:val="auto"/>
          <w:u w:val="none"/>
          <w:lang w:val="en-US" w:eastAsia="zh-CN"/>
        </w:rPr>
        <w:sectPr>
          <w:headerReference r:id="rId4" w:type="default"/>
          <w:footerReference r:id="rId5" w:type="default"/>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color w:val="auto"/>
          <w:u w:val="none"/>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jc w:val="both"/>
        <w:textAlignment w:val="auto"/>
        <w:rPr>
          <w:rFonts w:hint="eastAsia" w:ascii="方正小标宋_GBK" w:hAnsi="方正小标宋_GBK" w:eastAsia="方正小标宋_GBK" w:cs="方正小标宋_GBK"/>
          <w:color w:val="auto"/>
          <w:sz w:val="52"/>
          <w:szCs w:val="5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jc w:val="center"/>
        <w:textAlignment w:val="auto"/>
        <w:outlineLvl w:val="0"/>
        <w:rPr>
          <w:rFonts w:hint="eastAsia" w:ascii="方正小标宋_GBK" w:hAnsi="方正小标宋_GBK" w:eastAsia="方正小标宋_GBK" w:cs="方正小标宋_GBK"/>
          <w:color w:val="auto"/>
          <w:sz w:val="52"/>
          <w:szCs w:val="52"/>
          <w:u w:val="none"/>
          <w:lang w:val="en-US" w:eastAsia="zh-CN"/>
        </w:rPr>
      </w:pPr>
      <w:bookmarkStart w:id="0" w:name="_Toc21675"/>
      <w:r>
        <w:rPr>
          <w:rFonts w:hint="eastAsia" w:ascii="方正小标宋_GBK" w:hAnsi="方正小标宋_GBK" w:eastAsia="方正小标宋_GBK" w:cs="方正小标宋_GBK"/>
          <w:color w:val="auto"/>
          <w:sz w:val="52"/>
          <w:szCs w:val="52"/>
          <w:u w:val="none"/>
          <w:lang w:val="en-US" w:eastAsia="zh-CN"/>
        </w:rPr>
        <w:t>前 言</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楷体_GB2312" w:hAnsi="楷体_GB2312" w:eastAsia="楷体_GB2312" w:cs="楷体_GB2312"/>
          <w:color w:val="auto"/>
          <w:kern w:val="2"/>
          <w:sz w:val="32"/>
          <w:szCs w:val="32"/>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方正仿宋_GBK" w:hAnsi="方正仿宋_GBK" w:eastAsia="方正仿宋_GBK" w:cs="方正仿宋_GBK"/>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重庆社会救助基金会（以下简称基金会）创立于2011年9月，是我国首家省级政府投入、财政出资注册成立，由重庆市民政局主管的，专门从事社会救助的5A级公募慈善组织，系我国4个直辖市中第一个成立社会救助基金的省份,也是重庆市政府首批纳入政务接待考察的定点单位。2019年9月，民政部部长办公会议专门研究了基金会做好政府转介服务的做法，被誉为救急助难的样板。设立基金会，是市委、市政府深入学习贯彻习近平总书记关于保障改善民生、加强社会救助重要指示精神的实际行动，是践行以人民为中心发展思想、坚持人民利益至上的重要举措，对于更好保障困难群众基本</w:t>
      </w:r>
      <w:r>
        <w:rPr>
          <w:rFonts w:hint="eastAsia" w:ascii="方正仿宋_GBK" w:hAnsi="方正仿宋_GBK" w:eastAsia="方正仿宋_GBK" w:cs="方正仿宋_GBK"/>
          <w:color w:val="auto"/>
          <w:kern w:val="2"/>
          <w:sz w:val="32"/>
          <w:szCs w:val="32"/>
          <w:u w:val="none"/>
          <w:lang w:val="en-US" w:eastAsia="zh-CN" w:bidi="ar-SA"/>
        </w:rPr>
        <w:t>生活、切实兜住兜牢脱贫攻坚底线具有重要意义。</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方正仿宋_GBK" w:hAnsi="方正仿宋_GBK" w:eastAsia="方正仿宋_GBK" w:cs="方正仿宋_GBK"/>
          <w:color w:val="auto"/>
          <w:kern w:val="2"/>
          <w:sz w:val="32"/>
          <w:szCs w:val="32"/>
          <w:u w:val="none"/>
          <w:lang w:val="en-US" w:eastAsia="zh-CN" w:bidi="ar-SA"/>
        </w:rPr>
      </w:pPr>
      <w:r>
        <w:rPr>
          <w:rFonts w:hint="eastAsia" w:ascii="黑体" w:hAnsi="黑体" w:eastAsia="黑体" w:cs="黑体"/>
          <w:color w:val="auto"/>
          <w:sz w:val="32"/>
          <w:szCs w:val="32"/>
          <w:u w:val="none"/>
          <w:lang w:val="en-US" w:eastAsia="zh-CN"/>
        </w:rPr>
        <w:t>10</w:t>
      </w:r>
      <w:r>
        <w:rPr>
          <w:rFonts w:hint="eastAsia" w:ascii="黑体" w:hAnsi="黑体" w:eastAsia="黑体" w:cs="黑体"/>
          <w:color w:val="auto"/>
          <w:kern w:val="2"/>
          <w:sz w:val="32"/>
          <w:szCs w:val="32"/>
          <w:u w:val="none"/>
          <w:lang w:val="en-US" w:eastAsia="zh-CN" w:bidi="ar-SA"/>
        </w:rPr>
        <w:t>年来，基金会始终坚持更高政治站位。</w:t>
      </w:r>
      <w:r>
        <w:rPr>
          <w:rFonts w:hint="eastAsia" w:ascii="方正仿宋_GBK" w:hAnsi="方正仿宋_GBK" w:eastAsia="方正仿宋_GBK" w:cs="方正仿宋_GBK"/>
          <w:color w:val="auto"/>
          <w:kern w:val="2"/>
          <w:sz w:val="32"/>
          <w:szCs w:val="32"/>
          <w:u w:val="none"/>
          <w:lang w:val="en-US" w:eastAsia="zh-CN" w:bidi="ar-SA"/>
        </w:rPr>
        <w:t>坚持以习近平新时代中国特色社会主义思想为指导，深入贯彻党中央、国务院决策部署和市委市政府工作要求，认真落实市民政局党组的安排部署，始终秉持“以人为本，救急助难”的宗旨，建立完善以政府主导，社会参与，财政出资，基金运作的应急救助模式，通过专门承接政府转介服务，对居住或生活在本市境内的因遭受突发性、紧迫性、临时性基本生活困难问题的群众积极开展急难救助，坚决扛起人民至上的责任担当。始终坚持以人民为中心、坚守责任使命，用心用情抓好各项政策措施落实，通过托底、应急、过渡、衔接、补充，设身处地、实心实招帮助困难群众渡过难关，协助政府兜住兜牢基本民生底线。</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eastAsia" w:ascii="黑体" w:hAnsi="黑体" w:eastAsia="黑体" w:cs="黑体"/>
          <w:color w:val="auto"/>
          <w:kern w:val="2"/>
          <w:sz w:val="32"/>
          <w:szCs w:val="32"/>
          <w:u w:val="none"/>
          <w:lang w:val="en-US" w:eastAsia="zh-CN" w:bidi="ar-SA"/>
        </w:rPr>
        <w:t>10年来，基金会始终履行更大救急责任。</w:t>
      </w:r>
      <w:r>
        <w:rPr>
          <w:rFonts w:hint="default" w:ascii="Times New Roman" w:hAnsi="Times New Roman" w:eastAsia="方正仿宋_GBK" w:cs="Times New Roman"/>
          <w:color w:val="auto"/>
          <w:kern w:val="2"/>
          <w:sz w:val="32"/>
          <w:szCs w:val="32"/>
          <w:u w:val="none"/>
          <w:lang w:val="en-US" w:eastAsia="zh-CN" w:bidi="ar-SA"/>
        </w:rPr>
        <w:t>及时对困难群众进行救助，体现社会的爱心和温度，彰显政府及社会组织的厚爱和责任，基金会紧盯“</w:t>
      </w:r>
      <w:r>
        <w:rPr>
          <w:rFonts w:hint="default" w:ascii="Times New Roman" w:hAnsi="Times New Roman" w:eastAsia="方正仿宋_GBK" w:cs="Times New Roman"/>
          <w:color w:val="auto"/>
          <w:sz w:val="32"/>
          <w:szCs w:val="32"/>
          <w:u w:val="none"/>
          <w:lang w:val="en-US" w:eastAsia="zh-CN"/>
        </w:rPr>
        <w:t>救助一人，带动一家，保</w:t>
      </w:r>
      <w:r>
        <w:rPr>
          <w:rFonts w:hint="default" w:ascii="Times New Roman" w:hAnsi="Times New Roman" w:eastAsia="方正仿宋_GBK" w:cs="Times New Roman"/>
          <w:color w:val="auto"/>
          <w:kern w:val="2"/>
          <w:sz w:val="32"/>
          <w:szCs w:val="32"/>
          <w:u w:val="none"/>
          <w:lang w:val="en-US" w:eastAsia="zh-CN" w:bidi="ar-SA"/>
        </w:rPr>
        <w:t>一方平安”的目标，情系困难群众、勇担社会责任。10年来，基金会员工和志愿者，带着感情、带着责任、带着使命，走最艰难的路，到最困难的家，救最需要帮助的人，从秦巴深处到武陵山腹地，从大娄山脉到三峡库区，从渝中半岛到中原大地，从西藏高原到黄浦江畔，从嘉陵江畔到西北大莫，前前后后走过170多万公里的路程，足迹不仅遍布全市40个区县1030个乡镇（街道），更不远万里为异地他乡的手足同胞送去关怀。10年来，基金会围绕“困有所助、难有所帮”，探索形成了市、区县、镇街三位一体，分级负责，分层救助的应急救助体系，积极向广大困难群众</w:t>
      </w:r>
      <w:r>
        <w:rPr>
          <w:rFonts w:hint="default" w:ascii="Times New Roman" w:hAnsi="Times New Roman" w:eastAsia="方正仿宋_GBK" w:cs="Times New Roman"/>
          <w:color w:val="auto"/>
          <w:sz w:val="32"/>
          <w:szCs w:val="32"/>
          <w:u w:val="none"/>
          <w:lang w:val="en-US" w:eastAsia="zh-CN"/>
        </w:rPr>
        <w:t>传递党和政府的关心、关注和关爱。2011-2021年6月，基金会共筹集资金2.2亿元(其中，财政资金1.7亿元，社会募集0.3亿元，福彩公益金0.19亿元)，支出救助金1.9亿元，对20952</w:t>
      </w:r>
      <w:r>
        <w:rPr>
          <w:rFonts w:hint="default" w:ascii="Times New Roman" w:hAnsi="Times New Roman" w:eastAsia="方正仿宋_GBK" w:cs="Times New Roman"/>
          <w:color w:val="auto"/>
          <w:sz w:val="32"/>
          <w:szCs w:val="32"/>
          <w:highlight w:val="none"/>
          <w:u w:val="none"/>
          <w:lang w:val="en-US" w:eastAsia="zh-CN"/>
        </w:rPr>
        <w:t>人（</w:t>
      </w:r>
      <w:r>
        <w:rPr>
          <w:rFonts w:hint="default" w:ascii="Times New Roman" w:hAnsi="Times New Roman" w:eastAsia="方正仿宋_GBK" w:cs="Times New Roman"/>
          <w:color w:val="auto"/>
          <w:sz w:val="32"/>
          <w:szCs w:val="32"/>
          <w:u w:val="none"/>
          <w:lang w:val="en-US" w:eastAsia="zh-CN"/>
        </w:rPr>
        <w:t>户）</w:t>
      </w:r>
      <w:r>
        <w:rPr>
          <w:rFonts w:hint="default" w:ascii="Times New Roman" w:hAnsi="Times New Roman" w:eastAsia="方正仿宋_GBK" w:cs="Times New Roman"/>
          <w:color w:val="auto"/>
          <w:kern w:val="2"/>
          <w:sz w:val="32"/>
          <w:szCs w:val="32"/>
          <w:u w:val="none"/>
          <w:lang w:val="en-US" w:eastAsia="zh-CN" w:bidi="ar-SA"/>
        </w:rPr>
        <w:t>实施了救助，彰显了社会组织的责任与担当，让获救对象在绝望之中看到新的希望，在无助之时体会到人间真情。</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eastAsia" w:ascii="黑体" w:hAnsi="黑体" w:eastAsia="黑体" w:cs="黑体"/>
          <w:color w:val="auto"/>
          <w:kern w:val="2"/>
          <w:sz w:val="32"/>
          <w:szCs w:val="32"/>
          <w:u w:val="none"/>
          <w:lang w:val="en-US" w:eastAsia="zh-CN" w:bidi="ar-SA"/>
        </w:rPr>
        <w:t>10年来，基金会始终致力脱贫攻坚。</w:t>
      </w:r>
      <w:r>
        <w:rPr>
          <w:rFonts w:hint="default" w:ascii="Times New Roman" w:hAnsi="Times New Roman" w:eastAsia="方正仿宋_GBK" w:cs="Times New Roman"/>
          <w:color w:val="auto"/>
          <w:sz w:val="32"/>
          <w:szCs w:val="32"/>
          <w:highlight w:val="none"/>
          <w:u w:val="none"/>
          <w:lang w:val="en-US" w:eastAsia="zh-CN"/>
        </w:rPr>
        <w:t>脱贫攻坚战，是我们党向历史交出的一份答卷。这份答卷，用一片真心作答，</w:t>
      </w:r>
      <w:r>
        <w:rPr>
          <w:rFonts w:hint="default" w:ascii="Times New Roman" w:hAnsi="Times New Roman" w:eastAsia="方正仿宋_GBK" w:cs="Times New Roman"/>
          <w:color w:val="auto"/>
          <w:sz w:val="32"/>
          <w:szCs w:val="32"/>
          <w:u w:val="none"/>
          <w:lang w:val="en-US" w:eastAsia="zh-CN"/>
        </w:rPr>
        <w:t>交给人民审阅。在这场战役中，基金会始终坚持人民至上，心系贫困地区困难群众，扎实履职尽责，</w:t>
      </w:r>
      <w:r>
        <w:rPr>
          <w:rFonts w:hint="default" w:ascii="Times New Roman" w:hAnsi="Times New Roman" w:eastAsia="方正仿宋_GBK" w:cs="Times New Roman"/>
          <w:color w:val="auto"/>
          <w:kern w:val="2"/>
          <w:sz w:val="32"/>
          <w:szCs w:val="32"/>
          <w:u w:val="none"/>
          <w:lang w:val="en-US" w:eastAsia="zh-CN" w:bidi="ar-SA"/>
        </w:rPr>
        <w:t>为如期全面建成小康社会的有力支撑。为</w:t>
      </w:r>
      <w:r>
        <w:rPr>
          <w:rFonts w:hint="default" w:ascii="Times New Roman" w:hAnsi="Times New Roman" w:eastAsia="方正仿宋_GBK" w:cs="Times New Roman"/>
          <w:color w:val="auto"/>
          <w:sz w:val="32"/>
          <w:szCs w:val="32"/>
          <w:u w:val="none"/>
          <w:lang w:val="en-US" w:eastAsia="zh-CN"/>
        </w:rPr>
        <w:t>更好发挥反贫困作用，基金会于2015年更新社会救助的理念目标，优化创新制度设计，增强“兜底线、救急难”的社会效益，推动基金会职能和发展面向脱贫攻坚“升级扩容”。紧紧围绕扶贫攻坚，着眼农村困难群众住房安全保障，在城口、巫溪、酉阳等14个深度贫困区县中对农村低保、建档立卡贫困户、分散供养特困人员以及重度贫困残疾人家庭四类对象开展住房救助。牢固树立“扶贫先扶智，扶智先助学”的理念，全面推进扶智助学项目，深化开展扶困就医、扶贫安居和扶智助学活动。全面围绕脱贫攻坚向乡村振兴衔接，探索出一条从“输血式扶贫”到“造血式扶贫”的乡村可持续发展之路，以实际工作成效不断增强困难群众的获得感、幸福感、安全感。</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eastAsia" w:ascii="黑体" w:hAnsi="黑体" w:eastAsia="黑体" w:cs="黑体"/>
          <w:color w:val="auto"/>
          <w:kern w:val="2"/>
          <w:sz w:val="32"/>
          <w:szCs w:val="32"/>
          <w:u w:val="none"/>
          <w:lang w:val="en-US" w:eastAsia="zh-CN" w:bidi="ar-SA"/>
        </w:rPr>
        <w:t>10年来，基金会始终推进创新发展。</w:t>
      </w:r>
      <w:r>
        <w:rPr>
          <w:rFonts w:hint="default" w:ascii="Times New Roman" w:hAnsi="Times New Roman" w:eastAsia="方正仿宋_GBK" w:cs="Times New Roman"/>
          <w:color w:val="auto"/>
          <w:sz w:val="32"/>
          <w:szCs w:val="32"/>
          <w:u w:val="none"/>
          <w:lang w:val="en-US" w:eastAsia="zh-CN"/>
        </w:rPr>
        <w:t>持续优化困难、急难救助流程，规范实施扶弱济困、救急助难，不断推进探索创新。2017年获得中国社会组织评估最高等级5A级证书，全市扶贫先进单位，成为市政府首批纳入政务接待考察的定点单位，2019年9月，民政部办公会专题研究了重庆社会救助基金会的做法，成为民政部救急助难政府转介服务的样板。充分发挥第三次分配作用，在改善收入和财富分配格局、促进全体人民共同富裕中找准定位；聚焦脱贫攻坚、聚焦特殊群体、聚焦群众关切，在全面推进乡村振兴、提升基本公共服务均等化水平、提高民生福祉水平中找准定位；积极参与基层治理，在推动基层治理重心向基层下移、加强基层社会治理能力中找准定位。深刻理解习近平“七一”重要讲话精神，在“两个一百年”奋斗目标的历史进程中，胸怀“国之大者”，充分发挥基金会在扶弱、救困、恤病、助残、扶贫等方面的重要作用，深度帮扶困难群体、着力解决群众关切，充分体现社会组织的作用，全面彰显社会主义制度的优越性。</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eastAsia" w:ascii="黑体" w:hAnsi="黑体" w:eastAsia="黑体" w:cs="黑体"/>
          <w:color w:val="auto"/>
          <w:kern w:val="2"/>
          <w:sz w:val="32"/>
          <w:szCs w:val="32"/>
          <w:u w:val="none"/>
          <w:lang w:val="en-US" w:eastAsia="zh-CN" w:bidi="ar-SA"/>
        </w:rPr>
        <w:t>10年来，始终不断积蓄前进力量。</w:t>
      </w:r>
      <w:r>
        <w:rPr>
          <w:rFonts w:hint="default" w:ascii="Times New Roman" w:hAnsi="Times New Roman" w:eastAsia="方正仿宋_GBK" w:cs="Times New Roman"/>
          <w:color w:val="auto"/>
          <w:sz w:val="32"/>
          <w:szCs w:val="32"/>
          <w:u w:val="none"/>
          <w:lang w:val="en-US" w:eastAsia="zh-CN"/>
        </w:rPr>
        <w:t>10年前，基金会像一个呱呱坠地的孩子，张望这个世界。对社会的责任，对困难群众的厚爱，对政府救助的托底，是它成长的标签和坚守的信念。10年的成长，它由小到大，由少到多，面由窄到宽，方式由单一到多元，由物质到精神</w:t>
      </w:r>
      <w:r>
        <w:rPr>
          <w:rFonts w:hint="default" w:ascii="Times New Roman" w:hAnsi="Times New Roman" w:eastAsia="方正仿宋_GBK" w:cs="Times New Roman"/>
          <w:color w:val="auto"/>
          <w:sz w:val="32"/>
          <w:szCs w:val="32"/>
          <w:u w:val="none"/>
          <w:lang w:eastAsia="zh-CN"/>
        </w:rPr>
        <w:t>，已成为社会救助方面不可或缺的力量，是社会救助的重要补充，承担着艰巨而光荣的救急解难任务，发挥着政府对困难群众救助帮扶的特殊作用。</w:t>
      </w:r>
      <w:r>
        <w:rPr>
          <w:rFonts w:hint="default" w:ascii="Times New Roman" w:hAnsi="Times New Roman" w:eastAsia="方正仿宋_GBK" w:cs="Times New Roman"/>
          <w:color w:val="auto"/>
          <w:sz w:val="32"/>
          <w:szCs w:val="32"/>
          <w:u w:val="none"/>
          <w:lang w:val="en-US" w:eastAsia="zh-CN"/>
        </w:rPr>
        <w:t>10年历程，基金会员工和志愿者牢记责任使命，进“千家门、丈万里路”，广泛发动会爱心企业、爱心单位、爱心人士精准救助、接力救助、延伸救助，实现了“救助一人、挽救一家、稳定一群、和谐一方”。10年历程，充分证明基金会拾遗补缺、参与救急救难的紧迫性、及时性；充分证明基金会缓解社会矛盾，减轻政府压力的突出性、必要性；充分证明基金会存在和发展的重要性、可行性。</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color w:val="auto"/>
          <w:sz w:val="32"/>
          <w:szCs w:val="32"/>
          <w:u w:val="none"/>
          <w:lang w:eastAsia="zh-CN"/>
        </w:rPr>
      </w:pPr>
      <w:r>
        <w:rPr>
          <w:rFonts w:hint="default" w:ascii="Times New Roman" w:hAnsi="Times New Roman" w:eastAsia="方正仿宋_GBK" w:cs="Times New Roman"/>
          <w:color w:val="auto"/>
          <w:sz w:val="32"/>
          <w:szCs w:val="32"/>
          <w:u w:val="none"/>
          <w:lang w:eastAsia="zh-CN"/>
        </w:rPr>
        <w:t>本报告旨在分析基金会</w:t>
      </w:r>
      <w:r>
        <w:rPr>
          <w:rFonts w:hint="default" w:ascii="Times New Roman" w:hAnsi="Times New Roman" w:eastAsia="方正仿宋_GBK" w:cs="Times New Roman"/>
          <w:color w:val="auto"/>
          <w:sz w:val="32"/>
          <w:szCs w:val="32"/>
          <w:u w:val="none"/>
          <w:lang w:val="en-US" w:eastAsia="zh-CN"/>
        </w:rPr>
        <w:t>2011-2020年期间</w:t>
      </w:r>
      <w:r>
        <w:rPr>
          <w:rFonts w:hint="default" w:ascii="Times New Roman" w:hAnsi="Times New Roman" w:eastAsia="方正仿宋_GBK" w:cs="Times New Roman"/>
          <w:color w:val="auto"/>
          <w:sz w:val="32"/>
          <w:szCs w:val="32"/>
          <w:u w:val="none"/>
          <w:lang w:eastAsia="zh-CN"/>
        </w:rPr>
        <w:t>救助工作发展情况，全面总结救助工作经验，系统分析</w:t>
      </w:r>
      <w:r>
        <w:rPr>
          <w:rFonts w:hint="default" w:ascii="Times New Roman" w:hAnsi="Times New Roman" w:eastAsia="方正仿宋_GBK" w:cs="Times New Roman"/>
          <w:color w:val="auto"/>
          <w:sz w:val="32"/>
          <w:szCs w:val="32"/>
          <w:u w:val="none"/>
          <w:lang w:val="en-US" w:eastAsia="zh-CN"/>
        </w:rPr>
        <w:t>问题与难点，</w:t>
      </w:r>
      <w:r>
        <w:rPr>
          <w:rFonts w:hint="default" w:ascii="Times New Roman" w:hAnsi="Times New Roman" w:eastAsia="方正仿宋_GBK" w:cs="Times New Roman"/>
          <w:color w:val="auto"/>
          <w:sz w:val="32"/>
          <w:szCs w:val="32"/>
          <w:u w:val="none"/>
          <w:lang w:eastAsia="zh-CN"/>
        </w:rPr>
        <w:t>提出基金会在</w:t>
      </w:r>
      <w:r>
        <w:rPr>
          <w:rFonts w:hint="default" w:ascii="Times New Roman" w:hAnsi="Times New Roman" w:eastAsia="方正仿宋_GBK" w:cs="Times New Roman"/>
          <w:color w:val="auto"/>
          <w:sz w:val="32"/>
          <w:szCs w:val="32"/>
          <w:u w:val="none"/>
        </w:rPr>
        <w:t>“十四五”时期社会救助改革与发展的基本</w:t>
      </w:r>
      <w:r>
        <w:rPr>
          <w:rFonts w:hint="default" w:ascii="Times New Roman" w:hAnsi="Times New Roman" w:eastAsia="方正仿宋_GBK" w:cs="Times New Roman"/>
          <w:color w:val="auto"/>
          <w:sz w:val="32"/>
          <w:szCs w:val="32"/>
          <w:u w:val="none"/>
          <w:lang w:eastAsia="zh-CN"/>
        </w:rPr>
        <w:t>方向。</w:t>
      </w:r>
    </w:p>
    <w:p>
      <w:pPr>
        <w:keepNext w:val="0"/>
        <w:keepLines w:val="0"/>
        <w:pageBreakBefore w:val="0"/>
        <w:widowControl w:val="0"/>
        <w:kinsoku/>
        <w:wordWrap/>
        <w:overflowPunct w:val="0"/>
        <w:topLinePunct w:val="0"/>
        <w:autoSpaceDE/>
        <w:autoSpaceDN/>
        <w:bidi w:val="0"/>
        <w:adjustRightInd w:val="0"/>
        <w:snapToGrid w:val="0"/>
        <w:spacing w:line="579" w:lineRule="exact"/>
        <w:ind w:left="0" w:leftChars="0" w:right="0" w:rightChars="0" w:firstLine="640"/>
        <w:textAlignment w:val="auto"/>
        <w:outlineLvl w:val="9"/>
        <w:rPr>
          <w:rFonts w:hint="eastAsia" w:ascii="方正小标宋简体" w:hAnsi="方正小标宋简体" w:eastAsia="方正小标宋简体" w:cs="方正小标宋简体"/>
          <w:b w:val="0"/>
          <w:bCs w:val="0"/>
          <w:color w:val="auto"/>
          <w:sz w:val="32"/>
          <w:szCs w:val="32"/>
          <w:u w:val="none"/>
          <w:lang w:eastAsia="zh-CN"/>
        </w:rPr>
      </w:pPr>
      <w:bookmarkStart w:id="1" w:name="_Toc29709"/>
    </w:p>
    <w:p>
      <w:pPr>
        <w:pStyle w:val="2"/>
        <w:keepNext w:val="0"/>
        <w:keepLines w:val="0"/>
        <w:pageBreakBefore w:val="0"/>
        <w:widowControl w:val="0"/>
        <w:kinsoku/>
        <w:wordWrap/>
        <w:topLinePunct w:val="0"/>
        <w:bidi w:val="0"/>
        <w:spacing w:line="579" w:lineRule="exact"/>
        <w:ind w:left="0" w:leftChars="0" w:right="0" w:rightChars="0"/>
        <w:textAlignment w:val="auto"/>
        <w:outlineLvl w:val="9"/>
        <w:rPr>
          <w:rFonts w:hint="eastAsia" w:ascii="方正小标宋简体" w:hAnsi="方正小标宋简体" w:eastAsia="方正小标宋简体" w:cs="方正小标宋简体"/>
          <w:b w:val="0"/>
          <w:bCs w:val="0"/>
          <w:color w:val="auto"/>
          <w:sz w:val="32"/>
          <w:szCs w:val="32"/>
          <w:u w:val="none"/>
          <w:lang w:eastAsia="zh-CN"/>
        </w:rPr>
      </w:pPr>
    </w:p>
    <w:p>
      <w:pPr>
        <w:keepNext w:val="0"/>
        <w:keepLines w:val="0"/>
        <w:pageBreakBefore w:val="0"/>
        <w:widowControl w:val="0"/>
        <w:kinsoku/>
        <w:wordWrap/>
        <w:overflowPunct w:val="0"/>
        <w:topLinePunct w:val="0"/>
        <w:autoSpaceDE/>
        <w:autoSpaceDN/>
        <w:bidi w:val="0"/>
        <w:adjustRightInd w:val="0"/>
        <w:snapToGrid w:val="0"/>
        <w:spacing w:line="579" w:lineRule="exact"/>
        <w:ind w:left="0" w:leftChars="0" w:right="0" w:rightChars="0" w:firstLine="640"/>
        <w:textAlignment w:val="auto"/>
        <w:outlineLvl w:val="9"/>
        <w:rPr>
          <w:rFonts w:hint="eastAsia" w:ascii="方正小标宋简体" w:hAnsi="方正小标宋简体" w:eastAsia="方正小标宋简体" w:cs="方正小标宋简体"/>
          <w:b w:val="0"/>
          <w:bCs w:val="0"/>
          <w:color w:val="auto"/>
          <w:sz w:val="48"/>
          <w:szCs w:val="48"/>
          <w:u w:val="none"/>
          <w:lang w:eastAsia="zh-CN"/>
        </w:rPr>
      </w:pPr>
    </w:p>
    <w:p>
      <w:pPr>
        <w:pStyle w:val="2"/>
        <w:rPr>
          <w:rFonts w:hint="eastAsia" w:ascii="方正小标宋简体" w:hAnsi="方正小标宋简体" w:eastAsia="方正小标宋简体" w:cs="方正小标宋简体"/>
          <w:b w:val="0"/>
          <w:bCs w:val="0"/>
          <w:color w:val="auto"/>
          <w:sz w:val="48"/>
          <w:szCs w:val="48"/>
          <w:u w:val="none"/>
          <w:lang w:eastAsia="zh-CN"/>
        </w:rPr>
      </w:pPr>
    </w:p>
    <w:p>
      <w:pPr>
        <w:rPr>
          <w:rFonts w:hint="eastAsia" w:ascii="方正小标宋简体" w:hAnsi="方正小标宋简体" w:eastAsia="方正小标宋简体" w:cs="方正小标宋简体"/>
          <w:b w:val="0"/>
          <w:bCs w:val="0"/>
          <w:color w:val="auto"/>
          <w:sz w:val="48"/>
          <w:szCs w:val="48"/>
          <w:u w:val="none"/>
          <w:lang w:eastAsia="zh-CN"/>
        </w:rPr>
      </w:pPr>
    </w:p>
    <w:p>
      <w:pPr>
        <w:pStyle w:val="2"/>
        <w:rPr>
          <w:rFonts w:hint="eastAsia" w:ascii="方正小标宋简体" w:hAnsi="方正小标宋简体" w:eastAsia="方正小标宋简体" w:cs="方正小标宋简体"/>
          <w:b w:val="0"/>
          <w:bCs w:val="0"/>
          <w:color w:val="auto"/>
          <w:sz w:val="48"/>
          <w:szCs w:val="48"/>
          <w:u w:val="none"/>
          <w:lang w:eastAsia="zh-CN"/>
        </w:rPr>
      </w:pPr>
    </w:p>
    <w:p>
      <w:pPr>
        <w:rPr>
          <w:rFonts w:hint="eastAsia" w:ascii="方正小标宋简体" w:hAnsi="方正小标宋简体" w:eastAsia="方正小标宋简体" w:cs="方正小标宋简体"/>
          <w:b w:val="0"/>
          <w:bCs w:val="0"/>
          <w:color w:val="auto"/>
          <w:sz w:val="48"/>
          <w:szCs w:val="48"/>
          <w:u w:val="none"/>
          <w:lang w:eastAsia="zh-CN"/>
        </w:rPr>
      </w:pPr>
    </w:p>
    <w:p>
      <w:pPr>
        <w:pStyle w:val="2"/>
        <w:rPr>
          <w:rFonts w:hint="eastAsia" w:ascii="方正小标宋简体" w:hAnsi="方正小标宋简体" w:eastAsia="方正小标宋简体" w:cs="方正小标宋简体"/>
          <w:b w:val="0"/>
          <w:bCs w:val="0"/>
          <w:color w:val="auto"/>
          <w:sz w:val="48"/>
          <w:szCs w:val="48"/>
          <w:u w:val="none"/>
          <w:lang w:eastAsia="zh-CN"/>
        </w:rPr>
      </w:pPr>
    </w:p>
    <w:p>
      <w:pPr>
        <w:rPr>
          <w:rFonts w:hint="eastAsia" w:ascii="方正小标宋简体" w:hAnsi="方正小标宋简体" w:eastAsia="方正小标宋简体" w:cs="方正小标宋简体"/>
          <w:b w:val="0"/>
          <w:bCs w:val="0"/>
          <w:color w:val="auto"/>
          <w:sz w:val="48"/>
          <w:szCs w:val="48"/>
          <w:u w:val="none"/>
          <w:lang w:eastAsia="zh-CN"/>
        </w:rPr>
      </w:pPr>
    </w:p>
    <w:p>
      <w:pPr>
        <w:pStyle w:val="2"/>
        <w:rPr>
          <w:rFonts w:hint="eastAsia" w:ascii="方正小标宋简体" w:hAnsi="方正小标宋简体" w:eastAsia="方正小标宋简体" w:cs="方正小标宋简体"/>
          <w:b w:val="0"/>
          <w:bCs w:val="0"/>
          <w:color w:val="auto"/>
          <w:sz w:val="48"/>
          <w:szCs w:val="48"/>
          <w:u w:val="none"/>
          <w:lang w:eastAsia="zh-CN"/>
        </w:rPr>
      </w:pPr>
    </w:p>
    <w:p>
      <w:pPr>
        <w:rPr>
          <w:rFonts w:hint="eastAsia" w:ascii="方正小标宋简体" w:hAnsi="方正小标宋简体" w:eastAsia="方正小标宋简体" w:cs="方正小标宋简体"/>
          <w:b w:val="0"/>
          <w:bCs w:val="0"/>
          <w:color w:val="auto"/>
          <w:sz w:val="48"/>
          <w:szCs w:val="48"/>
          <w:u w:val="none"/>
          <w:lang w:eastAsia="zh-CN"/>
        </w:rPr>
      </w:pPr>
    </w:p>
    <w:p>
      <w:pPr>
        <w:pStyle w:val="2"/>
        <w:rPr>
          <w:rFonts w:hint="eastAsia" w:ascii="方正小标宋简体" w:hAnsi="方正小标宋简体" w:eastAsia="方正小标宋简体" w:cs="方正小标宋简体"/>
          <w:b w:val="0"/>
          <w:bCs w:val="0"/>
          <w:color w:val="auto"/>
          <w:sz w:val="48"/>
          <w:szCs w:val="48"/>
          <w:u w:val="none"/>
          <w:lang w:eastAsia="zh-CN"/>
        </w:rPr>
      </w:pPr>
    </w:p>
    <w:p>
      <w:pPr>
        <w:keepNext w:val="0"/>
        <w:keepLines w:val="0"/>
        <w:pageBreakBefore w:val="0"/>
        <w:widowControl w:val="0"/>
        <w:kinsoku/>
        <w:wordWrap/>
        <w:overflowPunct w:val="0"/>
        <w:topLinePunct w:val="0"/>
        <w:autoSpaceDE/>
        <w:autoSpaceDN/>
        <w:bidi w:val="0"/>
        <w:adjustRightInd w:val="0"/>
        <w:snapToGrid w:val="0"/>
        <w:spacing w:line="579" w:lineRule="exact"/>
        <w:ind w:right="0" w:rightChars="0"/>
        <w:jc w:val="both"/>
        <w:textAlignment w:val="auto"/>
        <w:outlineLvl w:val="9"/>
        <w:rPr>
          <w:rFonts w:hint="eastAsia" w:ascii="方正小标宋简体" w:hAnsi="方正小标宋简体" w:eastAsia="方正小标宋简体" w:cs="方正小标宋简体"/>
          <w:b w:val="0"/>
          <w:bCs w:val="0"/>
          <w:color w:val="auto"/>
          <w:sz w:val="44"/>
          <w:szCs w:val="44"/>
          <w:u w:val="none"/>
          <w:lang w:val="en-US" w:eastAsia="zh-CN"/>
        </w:rPr>
      </w:pPr>
    </w:p>
    <w:p>
      <w:pPr>
        <w:pStyle w:val="2"/>
        <w:rPr>
          <w:rFonts w:hint="eastAsia"/>
          <w:color w:val="auto"/>
          <w:u w:val="none"/>
          <w:lang w:val="en-US" w:eastAsia="zh-CN"/>
        </w:rPr>
      </w:pPr>
    </w:p>
    <w:p>
      <w:pPr>
        <w:rPr>
          <w:rFonts w:hint="eastAsia"/>
          <w:color w:val="auto"/>
          <w:u w:val="none"/>
          <w:lang w:val="en-US" w:eastAsia="zh-CN"/>
        </w:rPr>
      </w:pPr>
    </w:p>
    <w:p>
      <w:pPr>
        <w:pStyle w:val="2"/>
        <w:rPr>
          <w:rFonts w:hint="eastAsia"/>
          <w:color w:val="auto"/>
          <w:u w:val="none"/>
          <w:lang w:val="en-US" w:eastAsia="zh-CN"/>
        </w:rPr>
      </w:pPr>
    </w:p>
    <w:p>
      <w:pPr>
        <w:pStyle w:val="2"/>
        <w:bidi w:val="0"/>
        <w:jc w:val="center"/>
        <w:rPr>
          <w:rFonts w:hint="eastAsia" w:ascii="方正小标宋_GBK" w:hAnsi="方正小标宋_GBK" w:eastAsia="方正小标宋_GBK" w:cs="方正小标宋_GBK"/>
          <w:color w:val="auto"/>
          <w:u w:val="none"/>
          <w:lang w:eastAsia="zh-CN"/>
        </w:rPr>
      </w:pPr>
      <w:bookmarkStart w:id="2" w:name="_Toc20885"/>
      <w:r>
        <w:rPr>
          <w:rFonts w:hint="eastAsia" w:ascii="方正小标宋_GBK" w:hAnsi="方正小标宋_GBK" w:eastAsia="方正小标宋_GBK" w:cs="方正小标宋_GBK"/>
          <w:color w:val="auto"/>
          <w:u w:val="none"/>
          <w:lang w:val="en-US" w:eastAsia="zh-CN"/>
        </w:rPr>
        <w:t>第一章：基金会十年</w:t>
      </w:r>
      <w:r>
        <w:rPr>
          <w:rFonts w:hint="eastAsia" w:ascii="方正小标宋_GBK" w:hAnsi="方正小标宋_GBK" w:eastAsia="方正小标宋_GBK" w:cs="方正小标宋_GBK"/>
          <w:color w:val="auto"/>
          <w:u w:val="none"/>
          <w:lang w:eastAsia="zh-CN"/>
        </w:rPr>
        <w:t>救助基本情况</w:t>
      </w:r>
      <w:bookmarkEnd w:id="1"/>
      <w:bookmarkEnd w:id="2"/>
      <w:bookmarkStart w:id="3" w:name="_Toc13550"/>
    </w:p>
    <w:p>
      <w:pPr>
        <w:keepNext w:val="0"/>
        <w:keepLines w:val="0"/>
        <w:pageBreakBefore w:val="0"/>
        <w:widowControl w:val="0"/>
        <w:kinsoku/>
        <w:wordWrap/>
        <w:overflowPunct w:val="0"/>
        <w:topLinePunct w:val="0"/>
        <w:autoSpaceDE/>
        <w:autoSpaceDN/>
        <w:bidi w:val="0"/>
        <w:adjustRightInd w:val="0"/>
        <w:snapToGrid w:val="0"/>
        <w:spacing w:line="579" w:lineRule="exact"/>
        <w:ind w:right="0" w:rightChars="0" w:firstLine="880"/>
        <w:textAlignment w:val="auto"/>
        <w:outlineLvl w:val="9"/>
        <w:rPr>
          <w:rFonts w:hint="eastAsia" w:ascii="方正小标宋_GBK" w:hAnsi="方正小标宋_GBK" w:eastAsia="方正小标宋_GBK" w:cs="方正小标宋_GBK"/>
          <w:color w:val="auto"/>
          <w:sz w:val="32"/>
          <w:szCs w:val="32"/>
          <w:u w:val="none"/>
          <w:lang w:val="en-US" w:eastAsia="zh-CN"/>
        </w:rPr>
      </w:pPr>
    </w:p>
    <w:p>
      <w:pPr>
        <w:pStyle w:val="3"/>
        <w:bidi w:val="0"/>
        <w:ind w:firstLine="560" w:firstLineChars="200"/>
        <w:rPr>
          <w:rFonts w:hint="eastAsia" w:ascii="方正黑体_GBK" w:hAnsi="方正黑体_GBK" w:eastAsia="方正黑体_GBK" w:cs="方正黑体_GBK"/>
          <w:i w:val="0"/>
          <w:iCs/>
          <w:color w:val="auto"/>
          <w:u w:val="none"/>
          <w:lang w:val="en-US" w:eastAsia="zh-CN"/>
        </w:rPr>
      </w:pPr>
      <w:bookmarkStart w:id="4" w:name="_Toc6259"/>
      <w:r>
        <w:rPr>
          <w:rFonts w:hint="eastAsia"/>
          <w:i w:val="0"/>
          <w:iCs/>
          <w:color w:val="auto"/>
          <w:u w:val="none"/>
          <w:lang w:val="en-US" w:eastAsia="zh-CN"/>
        </w:rPr>
        <w:t>一</w:t>
      </w:r>
      <w:r>
        <w:rPr>
          <w:rFonts w:hint="eastAsia" w:ascii="方正黑体_GBK" w:hAnsi="方正黑体_GBK" w:eastAsia="方正黑体_GBK" w:cs="方正黑体_GBK"/>
          <w:i w:val="0"/>
          <w:iCs/>
          <w:color w:val="auto"/>
          <w:u w:val="none"/>
          <w:lang w:val="en-US" w:eastAsia="zh-CN"/>
        </w:rPr>
        <w:t>、十年救助力保民生</w:t>
      </w:r>
      <w:bookmarkEnd w:id="3"/>
      <w:bookmarkEnd w:id="4"/>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560"/>
        <w:jc w:val="both"/>
        <w:textAlignment w:val="auto"/>
        <w:outlineLvl w:val="1"/>
        <w:rPr>
          <w:rFonts w:hint="default" w:ascii="Times New Roman" w:hAnsi="Times New Roman" w:eastAsia="方正仿宋_GBK" w:cs="Times New Roman"/>
          <w:color w:val="auto"/>
          <w:sz w:val="32"/>
          <w:szCs w:val="32"/>
          <w:u w:val="none"/>
          <w:lang w:val="en-US" w:eastAsia="zh-CN"/>
        </w:rPr>
      </w:pPr>
      <w:bookmarkStart w:id="5" w:name="_Toc16760"/>
      <w:r>
        <w:rPr>
          <w:rFonts w:hint="default" w:ascii="Times New Roman" w:hAnsi="Times New Roman" w:eastAsia="方正仿宋_GBK" w:cs="Times New Roman"/>
          <w:color w:val="auto"/>
          <w:sz w:val="32"/>
          <w:szCs w:val="32"/>
          <w:u w:val="none"/>
          <w:lang w:val="en-US" w:eastAsia="zh-CN"/>
        </w:rPr>
        <w:t>基金会成立以来，牢记职责使命，积极开展全市困难群众急难救助工作，在救助覆盖人群规模与救助金额支出等方面，表现了强劲快速的发展形式。表1.1中统计了基金会救助人数与救助支出的情况，截止到2021年6月，救助人数一直快速增长，从2011年的45人，到了2021年6月底达到了7732人。救助支出也由2011年的171.29万元，发展到了2020年的3001.89万元。11年来，基金会共对20952人（户）实施了救助，支出救助金1.9亿元，其中包括为2600余人提供了服务救助等其他救助形式，成为全市救助系统中保民生、兜底线不可或缺的社会力量。</w:t>
      </w:r>
      <w:bookmarkEnd w:id="5"/>
    </w:p>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eastAsia="zh-CN"/>
        </w:rPr>
        <w:t>表</w:t>
      </w:r>
      <w:r>
        <w:rPr>
          <w:rFonts w:hint="eastAsia" w:ascii="仿宋_GB2312" w:hAnsi="仿宋_GB2312" w:eastAsia="仿宋_GB2312" w:cs="仿宋_GB2312"/>
          <w:color w:val="auto"/>
          <w:sz w:val="24"/>
          <w:szCs w:val="24"/>
          <w:u w:val="none"/>
          <w:lang w:val="en-US" w:eastAsia="zh-CN"/>
        </w:rPr>
        <w:t>1.1 2011-2021年救助对象及金额</w:t>
      </w:r>
    </w:p>
    <w:tbl>
      <w:tblPr>
        <w:tblStyle w:val="21"/>
        <w:tblpPr w:leftFromText="180" w:rightFromText="180" w:vertAnchor="text" w:horzAnchor="page" w:tblpX="1897" w:tblpY="102"/>
        <w:tblOverlap w:val="never"/>
        <w:tblW w:w="847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015"/>
        <w:gridCol w:w="3158"/>
        <w:gridCol w:w="33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cantSplit/>
          <w:tblHeader/>
        </w:trPr>
        <w:tc>
          <w:tcPr>
            <w:tcW w:w="2015" w:type="dxa"/>
            <w:tcBorders>
              <w:top w:val="double" w:color="000000" w:sz="8" w:space="0"/>
              <w:left w:val="nil"/>
              <w:bottom w:val="single" w:color="000000" w:sz="16" w:space="0"/>
              <w:right w:val="nil"/>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ind w:left="60" w:leftChars="0" w:right="60" w:rightChars="0"/>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年份</w:t>
            </w:r>
          </w:p>
        </w:tc>
        <w:tc>
          <w:tcPr>
            <w:tcW w:w="3158" w:type="dxa"/>
            <w:tcBorders>
              <w:top w:val="double" w:color="000000" w:sz="8" w:space="0"/>
              <w:left w:val="nil"/>
              <w:bottom w:val="single" w:color="000000" w:sz="16" w:space="0"/>
              <w:right w:val="nil"/>
              <w:tl2br w:val="nil"/>
              <w:tr2bl w:val="nil"/>
            </w:tcBorders>
            <w:shd w:val="clear" w:color="auto" w:fill="FFFFFF"/>
            <w:vAlign w:val="bottom"/>
          </w:tcPr>
          <w:p>
            <w:pPr>
              <w:keepNext w:val="0"/>
              <w:keepLines w:val="0"/>
              <w:pageBreakBefore w:val="0"/>
              <w:kinsoku/>
              <w:wordWrap/>
              <w:overflowPunct/>
              <w:topLinePunct w:val="0"/>
              <w:autoSpaceDE/>
              <w:autoSpaceDN/>
              <w:bidi w:val="0"/>
              <w:adjustRightInd/>
              <w:snapToGrid/>
              <w:spacing w:line="360" w:lineRule="auto"/>
              <w:ind w:left="60" w:leftChars="0" w:right="60" w:rightChars="0"/>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救助人（户）数</w:t>
            </w:r>
          </w:p>
        </w:tc>
        <w:tc>
          <w:tcPr>
            <w:tcW w:w="3302" w:type="dxa"/>
            <w:tcBorders>
              <w:top w:val="double" w:color="000000" w:sz="8" w:space="0"/>
              <w:left w:val="nil"/>
              <w:bottom w:val="single" w:color="000000" w:sz="16" w:space="0"/>
              <w:right w:val="nil"/>
              <w:tl2br w:val="nil"/>
              <w:tr2bl w:val="nil"/>
            </w:tcBorders>
            <w:shd w:val="clear" w:color="auto" w:fill="FFFFFF"/>
            <w:vAlign w:val="bottom"/>
          </w:tcPr>
          <w:p>
            <w:pPr>
              <w:keepNext w:val="0"/>
              <w:keepLines w:val="0"/>
              <w:pageBreakBefore w:val="0"/>
              <w:kinsoku/>
              <w:wordWrap/>
              <w:overflowPunct/>
              <w:topLinePunct w:val="0"/>
              <w:autoSpaceDE/>
              <w:autoSpaceDN/>
              <w:bidi w:val="0"/>
              <w:adjustRightInd/>
              <w:snapToGrid/>
              <w:spacing w:line="360" w:lineRule="auto"/>
              <w:ind w:left="60" w:leftChars="0" w:right="60" w:rightChars="0"/>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救助支出（万元）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blHeader/>
        </w:trPr>
        <w:tc>
          <w:tcPr>
            <w:tcW w:w="2015" w:type="dxa"/>
            <w:tcBorders>
              <w:top w:val="single" w:color="000000" w:sz="16" w:space="0"/>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2011</w:t>
            </w:r>
          </w:p>
        </w:tc>
        <w:tc>
          <w:tcPr>
            <w:tcW w:w="3158" w:type="dxa"/>
            <w:tcBorders>
              <w:top w:val="single" w:color="000000" w:sz="16" w:space="0"/>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45</w:t>
            </w:r>
          </w:p>
        </w:tc>
        <w:tc>
          <w:tcPr>
            <w:tcW w:w="3302" w:type="dxa"/>
            <w:tcBorders>
              <w:top w:val="single" w:color="000000" w:sz="16" w:space="0"/>
              <w:left w:val="nil"/>
              <w:bottom w:val="nil"/>
              <w:right w:val="nil"/>
              <w:tl2br w:val="nil"/>
              <w:tr2bl w:val="nil"/>
            </w:tcBorders>
            <w:shd w:val="clear" w:color="auto" w:fill="FFFFFF"/>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0" w:rightChars="0" w:firstLine="0" w:firstLineChars="0"/>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171.29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blHeader/>
        </w:trPr>
        <w:tc>
          <w:tcPr>
            <w:tcW w:w="2015"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2012</w:t>
            </w:r>
          </w:p>
        </w:tc>
        <w:tc>
          <w:tcPr>
            <w:tcW w:w="3158"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188</w:t>
            </w:r>
          </w:p>
        </w:tc>
        <w:tc>
          <w:tcPr>
            <w:tcW w:w="3302" w:type="dxa"/>
            <w:tcBorders>
              <w:top w:val="nil"/>
              <w:left w:val="nil"/>
              <w:bottom w:val="nil"/>
              <w:right w:val="nil"/>
              <w:tl2br w:val="nil"/>
              <w:tr2bl w:val="nil"/>
            </w:tcBorders>
            <w:shd w:val="clear" w:color="auto" w:fill="FFFFFF"/>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0" w:rightChars="0" w:firstLine="0" w:firstLineChars="0"/>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628.19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blHeader/>
        </w:trPr>
        <w:tc>
          <w:tcPr>
            <w:tcW w:w="2015"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2013</w:t>
            </w:r>
          </w:p>
        </w:tc>
        <w:tc>
          <w:tcPr>
            <w:tcW w:w="3158"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301</w:t>
            </w:r>
          </w:p>
        </w:tc>
        <w:tc>
          <w:tcPr>
            <w:tcW w:w="3302" w:type="dxa"/>
            <w:tcBorders>
              <w:top w:val="nil"/>
              <w:left w:val="nil"/>
              <w:bottom w:val="nil"/>
              <w:right w:val="nil"/>
              <w:tl2br w:val="nil"/>
              <w:tr2bl w:val="nil"/>
            </w:tcBorders>
            <w:shd w:val="clear" w:color="auto" w:fill="FFFFFF"/>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0" w:rightChars="0" w:firstLine="0" w:firstLineChars="0"/>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941.99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blHeader/>
        </w:trPr>
        <w:tc>
          <w:tcPr>
            <w:tcW w:w="2015"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2014</w:t>
            </w:r>
          </w:p>
        </w:tc>
        <w:tc>
          <w:tcPr>
            <w:tcW w:w="3158"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400</w:t>
            </w:r>
          </w:p>
        </w:tc>
        <w:tc>
          <w:tcPr>
            <w:tcW w:w="3302" w:type="dxa"/>
            <w:tcBorders>
              <w:top w:val="nil"/>
              <w:left w:val="nil"/>
              <w:bottom w:val="nil"/>
              <w:right w:val="nil"/>
              <w:tl2br w:val="nil"/>
              <w:tr2bl w:val="nil"/>
            </w:tcBorders>
            <w:shd w:val="clear" w:color="auto" w:fill="FFFFFF"/>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0" w:rightChars="0" w:firstLine="0" w:firstLineChars="0"/>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1259.76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blHeader/>
        </w:trPr>
        <w:tc>
          <w:tcPr>
            <w:tcW w:w="2015"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2015</w:t>
            </w:r>
          </w:p>
        </w:tc>
        <w:tc>
          <w:tcPr>
            <w:tcW w:w="3158"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525</w:t>
            </w:r>
          </w:p>
        </w:tc>
        <w:tc>
          <w:tcPr>
            <w:tcW w:w="3302" w:type="dxa"/>
            <w:tcBorders>
              <w:top w:val="nil"/>
              <w:left w:val="nil"/>
              <w:bottom w:val="nil"/>
              <w:right w:val="nil"/>
              <w:tl2br w:val="nil"/>
              <w:tr2bl w:val="nil"/>
            </w:tcBorders>
            <w:shd w:val="clear" w:color="auto" w:fill="FFFFFF"/>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0" w:rightChars="0" w:firstLine="0" w:firstLineChars="0"/>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1642.41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blHeader/>
        </w:trPr>
        <w:tc>
          <w:tcPr>
            <w:tcW w:w="2015"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2016</w:t>
            </w:r>
          </w:p>
        </w:tc>
        <w:tc>
          <w:tcPr>
            <w:tcW w:w="3158"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1167</w:t>
            </w:r>
          </w:p>
        </w:tc>
        <w:tc>
          <w:tcPr>
            <w:tcW w:w="3302" w:type="dxa"/>
            <w:tcBorders>
              <w:top w:val="nil"/>
              <w:left w:val="nil"/>
              <w:bottom w:val="nil"/>
              <w:right w:val="nil"/>
              <w:tl2br w:val="nil"/>
              <w:tr2bl w:val="nil"/>
            </w:tcBorders>
            <w:shd w:val="clear" w:color="auto" w:fill="FFFFFF"/>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0" w:rightChars="0" w:firstLine="0" w:firstLineChars="0"/>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2197.28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blHeader/>
        </w:trPr>
        <w:tc>
          <w:tcPr>
            <w:tcW w:w="2015"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2017</w:t>
            </w:r>
          </w:p>
        </w:tc>
        <w:tc>
          <w:tcPr>
            <w:tcW w:w="3158"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868</w:t>
            </w:r>
          </w:p>
        </w:tc>
        <w:tc>
          <w:tcPr>
            <w:tcW w:w="3302" w:type="dxa"/>
            <w:tcBorders>
              <w:top w:val="nil"/>
              <w:left w:val="nil"/>
              <w:bottom w:val="nil"/>
              <w:right w:val="nil"/>
              <w:tl2br w:val="nil"/>
              <w:tr2bl w:val="nil"/>
            </w:tcBorders>
            <w:shd w:val="clear" w:color="auto" w:fill="FFFFFF"/>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0" w:rightChars="0" w:firstLine="0" w:firstLineChars="0"/>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2200.20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blHeader/>
        </w:trPr>
        <w:tc>
          <w:tcPr>
            <w:tcW w:w="2015"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2018</w:t>
            </w:r>
          </w:p>
        </w:tc>
        <w:tc>
          <w:tcPr>
            <w:tcW w:w="3158"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1971</w:t>
            </w:r>
          </w:p>
        </w:tc>
        <w:tc>
          <w:tcPr>
            <w:tcW w:w="3302" w:type="dxa"/>
            <w:tcBorders>
              <w:top w:val="nil"/>
              <w:left w:val="nil"/>
              <w:bottom w:val="nil"/>
              <w:right w:val="nil"/>
              <w:tl2br w:val="nil"/>
              <w:tr2bl w:val="nil"/>
            </w:tcBorders>
            <w:shd w:val="clear" w:color="auto" w:fill="FFFFFF"/>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0" w:rightChars="0" w:firstLine="0" w:firstLineChars="0"/>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2722.33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blHeader/>
        </w:trPr>
        <w:tc>
          <w:tcPr>
            <w:tcW w:w="2015"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2019</w:t>
            </w:r>
          </w:p>
        </w:tc>
        <w:tc>
          <w:tcPr>
            <w:tcW w:w="3158"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3419</w:t>
            </w:r>
          </w:p>
        </w:tc>
        <w:tc>
          <w:tcPr>
            <w:tcW w:w="3302" w:type="dxa"/>
            <w:tcBorders>
              <w:top w:val="nil"/>
              <w:left w:val="nil"/>
              <w:bottom w:val="nil"/>
              <w:right w:val="nil"/>
              <w:tl2br w:val="nil"/>
              <w:tr2bl w:val="nil"/>
            </w:tcBorders>
            <w:shd w:val="clear" w:color="auto" w:fill="FFFFFF"/>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0" w:rightChars="0" w:firstLine="0" w:firstLineChars="0"/>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2580.02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blHeader/>
        </w:trPr>
        <w:tc>
          <w:tcPr>
            <w:tcW w:w="2015"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2020</w:t>
            </w:r>
          </w:p>
        </w:tc>
        <w:tc>
          <w:tcPr>
            <w:tcW w:w="3158"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4336</w:t>
            </w:r>
          </w:p>
        </w:tc>
        <w:tc>
          <w:tcPr>
            <w:tcW w:w="3302"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3001.89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blHeader/>
        </w:trPr>
        <w:tc>
          <w:tcPr>
            <w:tcW w:w="2015"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2021</w:t>
            </w:r>
          </w:p>
          <w:p>
            <w:pPr>
              <w:keepNext w:val="0"/>
              <w:keepLines w:val="0"/>
              <w:pageBreakBefore w:val="0"/>
              <w:kinsoku/>
              <w:wordWrap/>
              <w:overflowPunct/>
              <w:topLinePunct w:val="0"/>
              <w:autoSpaceDE/>
              <w:autoSpaceDN/>
              <w:bidi w:val="0"/>
              <w:adjustRightInd/>
              <w:snapToGrid/>
              <w:spacing w:line="360" w:lineRule="auto"/>
              <w:ind w:left="60" w:leftChars="0" w:right="60" w:rightChars="0"/>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（1-6月）</w:t>
            </w:r>
          </w:p>
        </w:tc>
        <w:tc>
          <w:tcPr>
            <w:tcW w:w="3158" w:type="dxa"/>
            <w:tcBorders>
              <w:top w:val="nil"/>
              <w:left w:val="nil"/>
              <w:bottom w:val="nil"/>
              <w:right w:val="nil"/>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ind w:left="60" w:leftChars="0" w:right="60" w:rightChars="0"/>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7732</w:t>
            </w:r>
          </w:p>
        </w:tc>
        <w:tc>
          <w:tcPr>
            <w:tcW w:w="3302" w:type="dxa"/>
            <w:tcBorders>
              <w:top w:val="nil"/>
              <w:left w:val="nil"/>
              <w:bottom w:val="nil"/>
              <w:right w:val="nil"/>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ind w:left="60" w:leftChars="0" w:right="60" w:rightChars="0"/>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1984.10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2015" w:type="dxa"/>
            <w:tcBorders>
              <w:top w:val="nil"/>
              <w:left w:val="nil"/>
              <w:bottom w:val="single" w:color="auto" w:sz="4" w:space="0"/>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合计</w:t>
            </w:r>
          </w:p>
        </w:tc>
        <w:tc>
          <w:tcPr>
            <w:tcW w:w="3158" w:type="dxa"/>
            <w:tcBorders>
              <w:top w:val="nil"/>
              <w:left w:val="nil"/>
              <w:bottom w:val="single" w:color="auto" w:sz="4" w:space="0"/>
              <w:right w:val="nil"/>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i w:val="0"/>
                <w:iCs w:val="0"/>
                <w:color w:val="auto"/>
                <w:kern w:val="0"/>
                <w:sz w:val="24"/>
                <w:szCs w:val="24"/>
                <w:u w:val="none"/>
                <w:lang w:val="en-US" w:eastAsia="zh-CN"/>
              </w:rPr>
              <w:t>20952</w:t>
            </w:r>
          </w:p>
        </w:tc>
        <w:tc>
          <w:tcPr>
            <w:tcW w:w="3302" w:type="dxa"/>
            <w:tcBorders>
              <w:top w:val="nil"/>
              <w:left w:val="nil"/>
              <w:bottom w:val="single" w:color="auto" w:sz="4" w:space="0"/>
              <w:right w:val="nil"/>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rPr>
              <w:t>19329.46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8475" w:type="dxa"/>
            <w:gridSpan w:val="3"/>
            <w:tcBorders>
              <w:top w:val="single" w:color="auto" w:sz="4" w:space="0"/>
              <w:left w:val="nil"/>
              <w:bottom w:val="nil"/>
              <w:right w:val="nil"/>
              <w:tl2br w:val="nil"/>
              <w:tr2bl w:val="nil"/>
            </w:tcBorders>
            <w:shd w:val="clear" w:color="auto" w:fill="FFFFFF"/>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auto"/>
                <w:kern w:val="0"/>
                <w:sz w:val="24"/>
                <w:szCs w:val="24"/>
                <w:u w:val="no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图1.1 救助领域不断扩大</w:t>
      </w:r>
    </w:p>
    <w:p>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drawing>
          <wp:inline distT="0" distB="0" distL="0" distR="0">
            <wp:extent cx="5698490" cy="1602105"/>
            <wp:effectExtent l="6350" t="19050" r="86360" b="17145"/>
            <wp:docPr id="1026" name="图示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pPr>
        <w:pStyle w:val="3"/>
        <w:bidi w:val="0"/>
        <w:ind w:firstLine="562" w:firstLineChars="200"/>
        <w:rPr>
          <w:rFonts w:hint="default" w:ascii="Times New Roman" w:hAnsi="Times New Roman" w:eastAsia="方正仿宋_GBK" w:cs="Times New Roman"/>
          <w:i w:val="0"/>
          <w:iCs/>
          <w:color w:val="auto"/>
          <w:u w:val="none"/>
          <w:lang w:val="en-US" w:eastAsia="zh-CN"/>
        </w:rPr>
      </w:pPr>
      <w:bookmarkStart w:id="6" w:name="_Toc27195"/>
      <w:bookmarkStart w:id="7" w:name="_Toc27406"/>
      <w:r>
        <w:rPr>
          <w:rFonts w:hint="default" w:ascii="Times New Roman" w:hAnsi="Times New Roman" w:eastAsia="方正仿宋_GBK" w:cs="Times New Roman"/>
          <w:i w:val="0"/>
          <w:iCs/>
          <w:color w:val="auto"/>
          <w:u w:val="none"/>
          <w:lang w:val="en-US" w:eastAsia="zh-CN"/>
        </w:rPr>
        <w:t>二、七大关怀凸显真情</w:t>
      </w:r>
      <w:bookmarkEnd w:id="6"/>
      <w:bookmarkEnd w:id="7"/>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560"/>
        <w:jc w:val="both"/>
        <w:textAlignment w:val="auto"/>
        <w:outlineLvl w:val="1"/>
        <w:rPr>
          <w:rFonts w:hint="default" w:ascii="Times New Roman" w:hAnsi="Times New Roman" w:eastAsia="方正仿宋_GBK" w:cs="Times New Roman"/>
          <w:color w:val="auto"/>
          <w:sz w:val="32"/>
          <w:szCs w:val="32"/>
          <w:u w:val="none"/>
          <w:lang w:val="en-US" w:eastAsia="zh-CN"/>
        </w:rPr>
      </w:pPr>
      <w:bookmarkStart w:id="8" w:name="_Toc28269"/>
      <w:r>
        <w:rPr>
          <w:rFonts w:hint="default" w:ascii="Times New Roman" w:hAnsi="Times New Roman" w:eastAsia="方正仿宋_GBK" w:cs="Times New Roman"/>
          <w:b/>
          <w:bCs/>
          <w:color w:val="auto"/>
          <w:sz w:val="32"/>
          <w:szCs w:val="32"/>
          <w:u w:val="none"/>
          <w:lang w:val="en-US" w:eastAsia="zh-CN"/>
        </w:rPr>
        <w:t>（一）扶困就医</w:t>
      </w:r>
      <w:r>
        <w:rPr>
          <w:rFonts w:hint="default" w:ascii="Times New Roman" w:hAnsi="Times New Roman" w:eastAsia="方正仿宋_GBK" w:cs="Times New Roman"/>
          <w:b w:val="0"/>
          <w:bCs w:val="0"/>
          <w:color w:val="auto"/>
          <w:sz w:val="32"/>
          <w:szCs w:val="32"/>
          <w:u w:val="none"/>
          <w:lang w:val="en-US" w:eastAsia="zh-CN"/>
        </w:rPr>
        <w:t>。</w:t>
      </w:r>
      <w:r>
        <w:rPr>
          <w:rFonts w:hint="default" w:ascii="Times New Roman" w:hAnsi="Times New Roman" w:eastAsia="方正仿宋_GBK" w:cs="Times New Roman"/>
          <w:color w:val="auto"/>
          <w:sz w:val="32"/>
          <w:szCs w:val="32"/>
          <w:highlight w:val="none"/>
          <w:u w:val="none"/>
          <w:lang w:val="en-US" w:eastAsia="zh-CN"/>
        </w:rPr>
        <w:t>截至2021年6月</w:t>
      </w:r>
      <w:r>
        <w:rPr>
          <w:rFonts w:hint="default" w:ascii="Times New Roman" w:hAnsi="Times New Roman" w:eastAsia="方正仿宋_GBK" w:cs="Times New Roman"/>
          <w:color w:val="auto"/>
          <w:sz w:val="32"/>
          <w:szCs w:val="32"/>
          <w:u w:val="none"/>
          <w:lang w:val="en-US" w:eastAsia="zh-CN"/>
        </w:rPr>
        <w:t>，基金会的救助工作重点一直关注遭遇重大疾病和重大灾（伤）害的特别困难群众，开展扶贫就医，补充伤病所带来的大额医疗费用。基金会针对不同情况实施急难救助、续航行动、护蕾行动、助力工程等行动，聚焦遭遇重大疾病和重大灾（伤害）的特别困难群众。急难救助对象为因重大疾病和重大灾（伤）害产生大额医疗费用，自付金额巨大，或需要后续治疗，在享受各类社会保障及社会救助政策后，家庭和个人无法承担，生活难以为继的困难对象。续航行动救助对象为低收入家庭患先天性免疫缺陷等疾病，确需要进行骨髓移植手术治疗的贫困患者。护蕾行动救助对象为低收入家庭中肢残、智残问题的10周岁及以下儿童。复康工程对本市低保对象和建档贫困户中60岁及以下的肢体残疾人员，采取基金会资助、医院减免与个人适当出资相配合的办法给予救助，2011年-2021年6月，扶困就医项目共支出救助金1.44亿元。</w:t>
      </w:r>
      <w:bookmarkEnd w:id="8"/>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560"/>
        <w:jc w:val="both"/>
        <w:textAlignment w:val="auto"/>
        <w:outlineLvl w:val="1"/>
        <w:rPr>
          <w:rFonts w:hint="default" w:ascii="Times New Roman" w:hAnsi="Times New Roman" w:eastAsia="方正仿宋_GBK" w:cs="Times New Roman"/>
          <w:color w:val="auto"/>
          <w:sz w:val="32"/>
          <w:szCs w:val="32"/>
          <w:u w:val="none"/>
          <w:lang w:val="en-US" w:eastAsia="zh-CN"/>
        </w:rPr>
      </w:pPr>
      <w:bookmarkStart w:id="9" w:name="_Toc26774"/>
      <w:r>
        <w:rPr>
          <w:rFonts w:hint="default" w:ascii="Times New Roman" w:hAnsi="Times New Roman" w:eastAsia="方正仿宋_GBK" w:cs="Times New Roman"/>
          <w:b/>
          <w:bCs/>
          <w:color w:val="auto"/>
          <w:sz w:val="32"/>
          <w:szCs w:val="32"/>
          <w:u w:val="none"/>
          <w:lang w:val="en-US" w:eastAsia="zh-CN"/>
        </w:rPr>
        <w:t>（二）扶贫安居。</w:t>
      </w:r>
      <w:r>
        <w:rPr>
          <w:rFonts w:hint="default" w:ascii="Times New Roman" w:hAnsi="Times New Roman" w:eastAsia="方正仿宋_GBK" w:cs="Times New Roman"/>
          <w:color w:val="auto"/>
          <w:sz w:val="32"/>
          <w:szCs w:val="32"/>
          <w:u w:val="none"/>
          <w:lang w:val="en-US" w:eastAsia="zh-CN"/>
        </w:rPr>
        <w:t>2015年，针对农村低收入困难家庭的实际救助需求，开展扶贫安居行动。基金会结合D级危房改造、高山移民和灾民倒房重建，采取个人出一点，国家补助一点，基金会援助一点的办法，以户为单位，开展扶贫安居温馨援建行动。每人按30平米援建，一般一户救助1-2万元，最高救助3.5万元，实现困难群众困有所助，难有所帮，居有其所，2011年-2021年6月，扶贫安居项目共支出救助金0.1亿元。</w:t>
      </w:r>
      <w:bookmarkEnd w:id="9"/>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56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b/>
          <w:bCs/>
          <w:color w:val="auto"/>
          <w:sz w:val="32"/>
          <w:szCs w:val="32"/>
          <w:u w:val="none"/>
          <w:lang w:val="en-US" w:eastAsia="zh-CN"/>
        </w:rPr>
        <w:t>（三）扶智助学。</w:t>
      </w:r>
      <w:r>
        <w:rPr>
          <w:rFonts w:hint="default" w:ascii="Times New Roman" w:hAnsi="Times New Roman" w:eastAsia="方正仿宋_GBK" w:cs="Times New Roman"/>
          <w:color w:val="auto"/>
          <w:sz w:val="32"/>
          <w:szCs w:val="32"/>
          <w:u w:val="none"/>
          <w:lang w:val="en-US" w:eastAsia="zh-CN"/>
        </w:rPr>
        <w:t>治贫先治愚，扶贫先扶智，扶智重在解困。在儿童和青春期，教育救助应发挥促进教育机会均等化和提升人力资本的功能，从根本上切断贫困代际延续的链条。2019年，基金会增加扶智助学。对于家庭确实困难，在享受政府或社会各类救助帮扶后，家庭仍难以保证子女完成学业的，根据其家庭实际困难程度，经评审每生每学年给予5000-10000元资助，2011年-2021年6月，扶智助学项目共支出救助金0.12亿元。</w:t>
      </w:r>
    </w:p>
    <w:p>
      <w:pPr>
        <w:pStyle w:val="2"/>
        <w:keepNext w:val="0"/>
        <w:keepLines w:val="0"/>
        <w:pageBreakBefore w:val="0"/>
        <w:widowControl w:val="0"/>
        <w:kinsoku/>
        <w:wordWrap/>
        <w:overflowPunct/>
        <w:topLinePunct w:val="0"/>
        <w:bidi w:val="0"/>
        <w:snapToGrid/>
        <w:spacing w:line="579" w:lineRule="exact"/>
        <w:ind w:left="0" w:leftChars="0" w:right="0" w:rightChars="0" w:firstLine="643" w:firstLineChars="200"/>
        <w:jc w:val="both"/>
        <w:textAlignment w:val="auto"/>
        <w:rPr>
          <w:rFonts w:hint="default" w:ascii="Times New Roman" w:hAnsi="Times New Roman" w:eastAsia="方正仿宋_GBK" w:cs="Times New Roman"/>
          <w:b w:val="0"/>
          <w:color w:val="auto"/>
          <w:kern w:val="2"/>
          <w:sz w:val="32"/>
          <w:szCs w:val="32"/>
          <w:u w:val="none"/>
          <w:lang w:val="en-US" w:eastAsia="zh-CN" w:bidi="ar-SA"/>
        </w:rPr>
      </w:pPr>
      <w:bookmarkStart w:id="10" w:name="_Toc8011"/>
      <w:r>
        <w:rPr>
          <w:rFonts w:hint="default" w:ascii="Times New Roman" w:hAnsi="Times New Roman" w:eastAsia="方正仿宋_GBK" w:cs="Times New Roman"/>
          <w:b/>
          <w:bCs/>
          <w:color w:val="auto"/>
          <w:kern w:val="2"/>
          <w:sz w:val="32"/>
          <w:szCs w:val="32"/>
          <w:u w:val="none"/>
          <w:lang w:val="en-US" w:eastAsia="zh-CN" w:bidi="ar-SA"/>
        </w:rPr>
        <w:t>（四）一米阳光。</w:t>
      </w:r>
      <w:r>
        <w:rPr>
          <w:rFonts w:hint="default" w:ascii="Times New Roman" w:hAnsi="Times New Roman" w:eastAsia="方正仿宋_GBK" w:cs="Times New Roman"/>
          <w:b w:val="0"/>
          <w:color w:val="auto"/>
          <w:kern w:val="2"/>
          <w:sz w:val="32"/>
          <w:szCs w:val="32"/>
          <w:u w:val="none"/>
          <w:lang w:val="en-US" w:eastAsia="zh-CN" w:bidi="ar-SA"/>
        </w:rPr>
        <w:t>在实施急难救助、扶智助学或急难众筹等救助的基础上，针对居住或生活在城市社区的城市低保、特困供养人员、低收入群体以及其他困难人员，由于缺乏生产资料、自救能力弱，面对因病、因灾、因残等刚性支出大，在享受政府相关救助和社会帮扶后，个人及家庭基本生活仍然十分困难的，依托社区志愿服务，筑牢兜底保障网，建立主动发现及时介入机制，高效精准对城市社区困难群众开展“物质+服务”的多元救助，让和谐之光普照城市社区的每一个角落。2011年-2021年6月，社区救助共支出救助金0.03亿元</w:t>
      </w:r>
      <w:bookmarkEnd w:id="10"/>
    </w:p>
    <w:p>
      <w:pPr>
        <w:pStyle w:val="2"/>
        <w:keepNext w:val="0"/>
        <w:keepLines w:val="0"/>
        <w:pageBreakBefore w:val="0"/>
        <w:widowControl w:val="0"/>
        <w:kinsoku/>
        <w:wordWrap/>
        <w:overflowPunct/>
        <w:topLinePunct w:val="0"/>
        <w:bidi w:val="0"/>
        <w:snapToGrid/>
        <w:spacing w:line="579" w:lineRule="exact"/>
        <w:ind w:left="0" w:leftChars="0" w:right="0" w:rightChars="0" w:firstLine="643" w:firstLineChars="200"/>
        <w:jc w:val="both"/>
        <w:textAlignment w:val="auto"/>
        <w:rPr>
          <w:rFonts w:hint="default" w:ascii="Times New Roman" w:hAnsi="Times New Roman" w:eastAsia="方正仿宋_GBK" w:cs="Times New Roman"/>
          <w:b w:val="0"/>
          <w:color w:val="auto"/>
          <w:kern w:val="2"/>
          <w:sz w:val="32"/>
          <w:szCs w:val="32"/>
          <w:u w:val="none"/>
          <w:lang w:val="en-US" w:eastAsia="zh-CN" w:bidi="ar-SA"/>
        </w:rPr>
      </w:pPr>
      <w:bookmarkStart w:id="11" w:name="_Toc8009"/>
      <w:r>
        <w:rPr>
          <w:rFonts w:hint="default" w:ascii="Times New Roman" w:hAnsi="Times New Roman" w:eastAsia="方正仿宋_GBK" w:cs="Times New Roman"/>
          <w:b/>
          <w:bCs/>
          <w:color w:val="auto"/>
          <w:kern w:val="2"/>
          <w:sz w:val="32"/>
          <w:szCs w:val="32"/>
          <w:u w:val="none"/>
          <w:lang w:val="en-US" w:eastAsia="zh-CN" w:bidi="ar-SA"/>
        </w:rPr>
        <w:t>（五）春和计划。</w:t>
      </w:r>
      <w:r>
        <w:rPr>
          <w:rFonts w:hint="default" w:ascii="Times New Roman" w:hAnsi="Times New Roman" w:eastAsia="方正仿宋_GBK" w:cs="Times New Roman"/>
          <w:b w:val="0"/>
          <w:color w:val="auto"/>
          <w:kern w:val="2"/>
          <w:sz w:val="32"/>
          <w:szCs w:val="32"/>
          <w:u w:val="none"/>
          <w:lang w:val="en-US" w:eastAsia="zh-CN" w:bidi="ar-SA"/>
        </w:rPr>
        <w:t>对居住或生活在城市社区因基本生活困难，精神压力大，影响其正常生活学习和就业，且长期得不到排解，容易诱发偏激行为等影响社会稳定的困难群众，通过采取购买专业心理服务的方式，对其提供心理咨询、心理疏导、心理关爱、危机干预等救助服务，从精神情感层面进行温暖服务，洁净社会的每一片天空。</w:t>
      </w:r>
      <w:bookmarkEnd w:id="11"/>
    </w:p>
    <w:p>
      <w:pPr>
        <w:pStyle w:val="2"/>
        <w:keepNext w:val="0"/>
        <w:keepLines w:val="0"/>
        <w:pageBreakBefore w:val="0"/>
        <w:widowControl w:val="0"/>
        <w:kinsoku/>
        <w:wordWrap/>
        <w:overflowPunct/>
        <w:topLinePunct w:val="0"/>
        <w:bidi w:val="0"/>
        <w:snapToGrid/>
        <w:spacing w:line="579" w:lineRule="exact"/>
        <w:ind w:left="0" w:leftChars="0" w:right="0" w:rightChars="0" w:firstLine="643" w:firstLineChars="200"/>
        <w:jc w:val="both"/>
        <w:textAlignment w:val="auto"/>
        <w:rPr>
          <w:rFonts w:hint="default" w:ascii="Times New Roman" w:hAnsi="Times New Roman" w:eastAsia="方正仿宋_GBK" w:cs="Times New Roman"/>
          <w:b w:val="0"/>
          <w:color w:val="auto"/>
          <w:kern w:val="2"/>
          <w:sz w:val="32"/>
          <w:szCs w:val="32"/>
          <w:u w:val="none"/>
          <w:lang w:val="en-US" w:eastAsia="zh-CN" w:bidi="ar-SA"/>
        </w:rPr>
      </w:pPr>
      <w:bookmarkStart w:id="12" w:name="_Toc14315"/>
      <w:r>
        <w:rPr>
          <w:rFonts w:hint="default" w:ascii="Times New Roman" w:hAnsi="Times New Roman" w:eastAsia="方正仿宋_GBK" w:cs="Times New Roman"/>
          <w:b/>
          <w:bCs/>
          <w:color w:val="auto"/>
          <w:kern w:val="2"/>
          <w:sz w:val="32"/>
          <w:szCs w:val="32"/>
          <w:u w:val="none"/>
          <w:lang w:val="en-US" w:eastAsia="zh-CN" w:bidi="ar-SA"/>
        </w:rPr>
        <w:t>（六）急难众筹。</w:t>
      </w:r>
      <w:r>
        <w:rPr>
          <w:rFonts w:hint="default" w:ascii="Times New Roman" w:hAnsi="Times New Roman" w:eastAsia="方正仿宋_GBK" w:cs="Times New Roman"/>
          <w:b w:val="0"/>
          <w:color w:val="auto"/>
          <w:kern w:val="2"/>
          <w:sz w:val="32"/>
          <w:szCs w:val="32"/>
          <w:u w:val="none"/>
          <w:lang w:val="en-US" w:eastAsia="zh-CN" w:bidi="ar-SA"/>
        </w:rPr>
        <w:t>2018年，基金会获得慈善组织公开募捐资格证书。发挥信息时代移动互联网的高效快捷的优势，多渠道筹集社会资金，2019年基金会成功打造众急难众筹平台。专门为身患重大疾病或意外灾（伤）害急需住院治疗且花费巨大的困难群众开展网络募捐，并经重庆市救助家庭经济状况信息管理系统核查家庭经济情况后，按不同类别开展众筹配捐，配捐金额2000-10000元。在众筹和配捐的基础上，仍特别困难需要社会特别帮助的患者可按程序申请基金会急难救助。2011年-2021年6月急难众筹项目共筹集救助金0.18亿元。</w:t>
      </w:r>
      <w:bookmarkEnd w:id="12"/>
    </w:p>
    <w:p>
      <w:pPr>
        <w:pStyle w:val="2"/>
        <w:keepNext w:val="0"/>
        <w:keepLines w:val="0"/>
        <w:pageBreakBefore w:val="0"/>
        <w:widowControl w:val="0"/>
        <w:kinsoku/>
        <w:wordWrap/>
        <w:overflowPunct/>
        <w:topLinePunct w:val="0"/>
        <w:bidi w:val="0"/>
        <w:snapToGrid/>
        <w:spacing w:line="579" w:lineRule="exact"/>
        <w:ind w:left="0" w:leftChars="0" w:right="0" w:rightChars="0" w:firstLine="643" w:firstLineChars="200"/>
        <w:jc w:val="both"/>
        <w:textAlignment w:val="auto"/>
        <w:rPr>
          <w:rFonts w:hint="default" w:ascii="Times New Roman" w:hAnsi="Times New Roman" w:eastAsia="方正仿宋_GBK" w:cs="Times New Roman"/>
          <w:b w:val="0"/>
          <w:color w:val="auto"/>
          <w:kern w:val="2"/>
          <w:sz w:val="32"/>
          <w:szCs w:val="32"/>
          <w:u w:val="none"/>
          <w:lang w:val="en-US" w:eastAsia="zh-CN" w:bidi="ar-SA"/>
        </w:rPr>
      </w:pPr>
      <w:bookmarkStart w:id="13" w:name="_Toc21861"/>
      <w:r>
        <w:rPr>
          <w:rFonts w:hint="default" w:ascii="Times New Roman" w:hAnsi="Times New Roman" w:eastAsia="方正仿宋_GBK" w:cs="Times New Roman"/>
          <w:b/>
          <w:bCs/>
          <w:color w:val="auto"/>
          <w:kern w:val="2"/>
          <w:sz w:val="32"/>
          <w:szCs w:val="32"/>
          <w:u w:val="none"/>
          <w:lang w:val="en-US" w:eastAsia="zh-CN" w:bidi="ar-SA"/>
        </w:rPr>
        <w:t>（七）对口援藏。</w:t>
      </w:r>
      <w:r>
        <w:rPr>
          <w:rFonts w:hint="default" w:ascii="Times New Roman" w:hAnsi="Times New Roman" w:eastAsia="方正仿宋_GBK" w:cs="Times New Roman"/>
          <w:b w:val="0"/>
          <w:color w:val="auto"/>
          <w:kern w:val="2"/>
          <w:sz w:val="32"/>
          <w:szCs w:val="32"/>
          <w:u w:val="none"/>
          <w:lang w:val="en-US" w:eastAsia="zh-CN" w:bidi="ar-SA"/>
        </w:rPr>
        <w:t>西藏昌都市是我市对口支援地区，是全球致致盲、致聋高发区。许多患者受限于医疗和经济条件，得不到有效治疗。受重庆市政府委托，基金会对口承接政府转介服务。组织专家团队赴藏，对符合救助条件的藏族同胞提供白内障和耳疾手术治疗，以及助听器调试安装工作，受到藏区困难群众的充分肯定和极大赞誉。对口援藏项目共支出救助金0.05亿元。</w:t>
      </w:r>
      <w:bookmarkEnd w:id="13"/>
    </w:p>
    <w:p>
      <w:pPr>
        <w:pStyle w:val="3"/>
        <w:keepNext w:val="0"/>
        <w:keepLines w:val="0"/>
        <w:pageBreakBefore w:val="0"/>
        <w:widowControl w:val="0"/>
        <w:kinsoku/>
        <w:wordWrap/>
        <w:overflowPunct/>
        <w:topLinePunct w:val="0"/>
        <w:autoSpaceDE w:val="0"/>
        <w:autoSpaceDN w:val="0"/>
        <w:bidi w:val="0"/>
        <w:adjustRightInd w:val="0"/>
        <w:snapToGrid/>
        <w:ind w:firstLine="562" w:firstLineChars="200"/>
        <w:textAlignment w:val="auto"/>
        <w:rPr>
          <w:rFonts w:hint="default" w:ascii="Times New Roman" w:hAnsi="Times New Roman" w:eastAsia="方正仿宋_GBK" w:cs="Times New Roman"/>
          <w:i w:val="0"/>
          <w:iCs/>
          <w:color w:val="auto"/>
          <w:u w:val="none"/>
          <w:lang w:val="en-US" w:eastAsia="zh-CN"/>
        </w:rPr>
      </w:pPr>
      <w:bookmarkStart w:id="14" w:name="_Toc29511"/>
      <w:r>
        <w:rPr>
          <w:rFonts w:hint="default" w:ascii="Times New Roman" w:hAnsi="Times New Roman" w:eastAsia="方正仿宋_GBK" w:cs="Times New Roman"/>
          <w:i w:val="0"/>
          <w:iCs/>
          <w:color w:val="auto"/>
          <w:u w:val="none"/>
          <w:lang w:val="en-US" w:eastAsia="zh-CN"/>
        </w:rPr>
        <w:t>三、问题及改进建议</w:t>
      </w:r>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default" w:ascii="Times New Roman" w:hAnsi="Times New Roman" w:eastAsia="方正仿宋_GBK" w:cs="Times New Roman"/>
          <w:b w:val="0"/>
          <w:color w:val="auto"/>
          <w:kern w:val="2"/>
          <w:sz w:val="32"/>
          <w:szCs w:val="32"/>
          <w:u w:val="none"/>
          <w:lang w:val="en-US" w:eastAsia="zh-CN" w:bidi="ar-SA"/>
        </w:rPr>
      </w:pPr>
      <w:r>
        <w:rPr>
          <w:rFonts w:hint="default" w:ascii="Times New Roman" w:hAnsi="Times New Roman" w:eastAsia="方正仿宋_GBK" w:cs="Times New Roman"/>
          <w:b w:val="0"/>
          <w:color w:val="auto"/>
          <w:kern w:val="2"/>
          <w:sz w:val="32"/>
          <w:szCs w:val="32"/>
          <w:u w:val="none"/>
          <w:lang w:val="en-US" w:eastAsia="zh-CN" w:bidi="ar-SA"/>
        </w:rPr>
        <w:t>调研中感到，基金会在探索发展中，也还有一些不尽完善的地方，需在今后的工作中进一步加强。一是体制机制需进一步完善。亟需加强与政府临时救助体系的无缝衔接，扩大基金规模，提高救助标准，提升救助力度</w:t>
      </w:r>
      <w:r>
        <w:rPr>
          <w:rFonts w:hint="default" w:ascii="Times New Roman" w:hAnsi="Times New Roman" w:eastAsia="方正仿宋_GBK" w:cs="Times New Roman"/>
          <w:b w:val="0"/>
          <w:color w:val="auto"/>
          <w:kern w:val="2"/>
          <w:sz w:val="32"/>
          <w:szCs w:val="32"/>
          <w:highlight w:val="none"/>
          <w:u w:val="none"/>
          <w:lang w:val="en-US" w:eastAsia="zh-CN" w:bidi="ar-SA"/>
        </w:rPr>
        <w:t>。</w:t>
      </w:r>
      <w:r>
        <w:rPr>
          <w:rFonts w:hint="default" w:ascii="Times New Roman" w:hAnsi="Times New Roman" w:eastAsia="方正仿宋_GBK" w:cs="Times New Roman"/>
          <w:b w:val="0"/>
          <w:color w:val="auto"/>
          <w:kern w:val="2"/>
          <w:sz w:val="32"/>
          <w:szCs w:val="32"/>
          <w:u w:val="none"/>
          <w:lang w:val="en-US" w:eastAsia="zh-CN" w:bidi="ar-SA"/>
        </w:rPr>
        <w:t>二是资金募集能力有待提升。到目前为止，政府财政资金仍是基金会主要的资金来源，社会募集资金的占比不高；三是社会救助志愿者的规模比较小，志愿救助服务能力水平还有待提升；</w:t>
      </w:r>
      <w:r>
        <w:rPr>
          <w:rFonts w:hint="eastAsia" w:ascii="Times New Roman" w:hAnsi="Times New Roman" w:eastAsia="方正仿宋_GBK" w:cs="Times New Roman"/>
          <w:b w:val="0"/>
          <w:color w:val="auto"/>
          <w:kern w:val="2"/>
          <w:sz w:val="32"/>
          <w:szCs w:val="32"/>
          <w:highlight w:val="none"/>
          <w:u w:val="none"/>
          <w:lang w:val="en-US" w:eastAsia="zh-CN" w:bidi="ar-SA"/>
        </w:rPr>
        <w:t>四是积极参与第三次分配，实现共同富裕的方法和手段不足，动员优质公益或大型企业参与社会救助的能力缺乏。</w:t>
      </w:r>
      <w:r>
        <w:rPr>
          <w:rFonts w:hint="eastAsia" w:ascii="Times New Roman" w:hAnsi="Times New Roman" w:eastAsia="方正仿宋_GBK" w:cs="Times New Roman"/>
          <w:b w:val="0"/>
          <w:color w:val="auto"/>
          <w:kern w:val="2"/>
          <w:sz w:val="32"/>
          <w:szCs w:val="32"/>
          <w:u w:val="none"/>
          <w:lang w:val="en-US" w:eastAsia="zh-CN" w:bidi="ar-SA"/>
        </w:rPr>
        <w:t>五</w:t>
      </w:r>
      <w:r>
        <w:rPr>
          <w:rFonts w:hint="default" w:ascii="Times New Roman" w:hAnsi="Times New Roman" w:eastAsia="方正仿宋_GBK" w:cs="Times New Roman"/>
          <w:b w:val="0"/>
          <w:color w:val="auto"/>
          <w:kern w:val="2"/>
          <w:sz w:val="32"/>
          <w:szCs w:val="32"/>
          <w:u w:val="none"/>
          <w:lang w:val="en-US" w:eastAsia="zh-CN" w:bidi="ar-SA"/>
        </w:rPr>
        <w:t>是救助方式依然以物质救助为主，发展性救助、服务性救助不多，无法回应困难群众多元需求。</w:t>
      </w:r>
      <w:bookmarkStart w:id="15" w:name="_Toc4181"/>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default" w:ascii="Times New Roman" w:hAnsi="Times New Roman" w:eastAsia="方正仿宋_GBK" w:cs="Times New Roman"/>
          <w:b w:val="0"/>
          <w:color w:val="auto"/>
          <w:kern w:val="2"/>
          <w:sz w:val="32"/>
          <w:szCs w:val="32"/>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880" w:firstLineChars="200"/>
        <w:jc w:val="both"/>
        <w:textAlignment w:val="auto"/>
        <w:rPr>
          <w:rFonts w:hint="default" w:ascii="Times New Roman" w:hAnsi="Times New Roman" w:eastAsia="方正仿宋_GBK" w:cs="Times New Roman"/>
          <w:b w:val="0"/>
          <w:bCs w:val="0"/>
          <w:color w:val="auto"/>
          <w:sz w:val="44"/>
          <w:szCs w:val="4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880" w:firstLineChars="200"/>
        <w:jc w:val="both"/>
        <w:textAlignment w:val="auto"/>
        <w:rPr>
          <w:rFonts w:hint="default" w:ascii="Times New Roman" w:hAnsi="Times New Roman" w:eastAsia="方正仿宋_GBK" w:cs="Times New Roman"/>
          <w:b w:val="0"/>
          <w:bCs w:val="0"/>
          <w:color w:val="auto"/>
          <w:sz w:val="44"/>
          <w:szCs w:val="4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880" w:firstLineChars="200"/>
        <w:jc w:val="both"/>
        <w:textAlignment w:val="auto"/>
        <w:rPr>
          <w:rFonts w:hint="default" w:ascii="Times New Roman" w:hAnsi="Times New Roman" w:eastAsia="方正仿宋_GBK" w:cs="Times New Roman"/>
          <w:b w:val="0"/>
          <w:bCs w:val="0"/>
          <w:color w:val="auto"/>
          <w:sz w:val="44"/>
          <w:szCs w:val="4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880" w:firstLineChars="200"/>
        <w:jc w:val="both"/>
        <w:textAlignment w:val="auto"/>
        <w:rPr>
          <w:rFonts w:hint="default" w:ascii="Times New Roman" w:hAnsi="Times New Roman" w:eastAsia="方正仿宋_GBK" w:cs="Times New Roman"/>
          <w:b w:val="0"/>
          <w:bCs w:val="0"/>
          <w:color w:val="auto"/>
          <w:sz w:val="44"/>
          <w:szCs w:val="4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880" w:firstLineChars="200"/>
        <w:jc w:val="both"/>
        <w:textAlignment w:val="auto"/>
        <w:rPr>
          <w:rFonts w:hint="default" w:ascii="Times New Roman" w:hAnsi="Times New Roman" w:eastAsia="方正仿宋_GBK" w:cs="Times New Roman"/>
          <w:b w:val="0"/>
          <w:bCs w:val="0"/>
          <w:color w:val="auto"/>
          <w:sz w:val="44"/>
          <w:szCs w:val="44"/>
          <w:u w:val="none"/>
          <w:lang w:val="en-US" w:eastAsia="zh-CN"/>
        </w:rPr>
      </w:pPr>
    </w:p>
    <w:p>
      <w:pPr>
        <w:pStyle w:val="2"/>
        <w:rPr>
          <w:rFonts w:hint="default"/>
          <w:color w:val="auto"/>
          <w:u w:val="none"/>
          <w:lang w:val="en-US" w:eastAsia="zh-CN"/>
        </w:rPr>
      </w:pPr>
    </w:p>
    <w:p>
      <w:pPr>
        <w:pStyle w:val="2"/>
        <w:bidi w:val="0"/>
        <w:jc w:val="center"/>
        <w:rPr>
          <w:rFonts w:hint="eastAsia" w:ascii="方正小标宋_GBK" w:hAnsi="方正小标宋_GBK" w:eastAsia="方正小标宋_GBK" w:cs="方正小标宋_GBK"/>
          <w:color w:val="auto"/>
          <w:u w:val="none"/>
          <w:lang w:val="en-US" w:eastAsia="zh-CN"/>
        </w:rPr>
      </w:pPr>
      <w:bookmarkStart w:id="16" w:name="_Toc29027"/>
      <w:r>
        <w:rPr>
          <w:rFonts w:hint="eastAsia" w:ascii="方正小标宋_GBK" w:hAnsi="方正小标宋_GBK" w:eastAsia="方正小标宋_GBK" w:cs="方正小标宋_GBK"/>
          <w:color w:val="auto"/>
          <w:u w:val="none"/>
          <w:lang w:val="en-US" w:eastAsia="zh-CN"/>
        </w:rPr>
        <w:t>第二章 基金会十年救助经验与成效</w:t>
      </w:r>
      <w:bookmarkEnd w:id="15"/>
      <w:bookmarkEnd w:id="16"/>
      <w:bookmarkStart w:id="17" w:name="_Toc29633"/>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jc w:val="both"/>
        <w:textAlignment w:val="auto"/>
        <w:rPr>
          <w:rFonts w:hint="eastAsia" w:ascii="楷体_GB2312" w:hAnsi="楷体_GB2312" w:eastAsia="楷体_GB2312" w:cs="楷体_GB2312"/>
          <w:b w:val="0"/>
          <w:bCs w:val="0"/>
          <w:color w:val="auto"/>
          <w:kern w:val="2"/>
          <w:sz w:val="32"/>
          <w:szCs w:val="32"/>
          <w:u w:val="none"/>
          <w:lang w:val="en-US" w:eastAsia="zh-CN" w:bidi="ar-SA"/>
        </w:rPr>
      </w:pPr>
    </w:p>
    <w:bookmarkEnd w:id="17"/>
    <w:p>
      <w:pPr>
        <w:pStyle w:val="3"/>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outlineLvl w:val="1"/>
        <w:rPr>
          <w:rFonts w:hint="eastAsia"/>
          <w:i w:val="0"/>
          <w:iCs/>
          <w:color w:val="auto"/>
          <w:sz w:val="32"/>
          <w:szCs w:val="32"/>
          <w:u w:val="none"/>
          <w:lang w:val="en-US" w:eastAsia="zh-CN"/>
        </w:rPr>
      </w:pPr>
      <w:bookmarkStart w:id="18" w:name="_Toc32692"/>
      <w:r>
        <w:rPr>
          <w:rFonts w:hint="eastAsia"/>
          <w:i w:val="0"/>
          <w:iCs/>
          <w:color w:val="auto"/>
          <w:sz w:val="32"/>
          <w:szCs w:val="32"/>
          <w:u w:val="none"/>
          <w:lang w:val="en-US" w:eastAsia="zh-CN"/>
        </w:rPr>
        <w:t>一、秉持初心</w:t>
      </w:r>
      <w:bookmarkEnd w:id="18"/>
      <w:r>
        <w:rPr>
          <w:rFonts w:hint="eastAsia"/>
          <w:i w:val="0"/>
          <w:iCs/>
          <w:color w:val="auto"/>
          <w:sz w:val="32"/>
          <w:szCs w:val="32"/>
          <w:u w:val="none"/>
          <w:lang w:val="en-US" w:eastAsia="zh-CN"/>
        </w:rPr>
        <w:t>使命</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sz w:val="32"/>
          <w:szCs w:val="32"/>
          <w:u w:val="none"/>
          <w:lang w:val="en-US" w:eastAsia="zh-CN"/>
        </w:rPr>
        <w:t>重庆社会救助基金会是由重庆市</w:t>
      </w:r>
      <w:r>
        <w:rPr>
          <w:rFonts w:hint="eastAsia" w:ascii="方正仿宋_GBK" w:hAnsi="方正仿宋_GBK" w:eastAsia="方正仿宋_GBK" w:cs="方正仿宋_GBK"/>
          <w:color w:val="auto"/>
          <w:kern w:val="2"/>
          <w:sz w:val="32"/>
          <w:szCs w:val="32"/>
          <w:u w:val="none"/>
          <w:lang w:val="en-US" w:eastAsia="zh-CN" w:bidi="ar-SA"/>
        </w:rPr>
        <w:t>政府投入、财政出资注册登记成立的社会组织，其宗旨为“扶弱济困，救急助难”，在政府主导下，积极承接政府转介服务，对居住或生活在本市境内的因遭受突发性、紧迫性、临时性基本生活困难问题的群众积极开展急难救助，为党分忧，为民解愁，体现了社会组织的责任与担当。</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ind w:firstLine="643" w:firstLineChars="200"/>
        <w:textAlignment w:val="auto"/>
        <w:outlineLvl w:val="2"/>
        <w:rPr>
          <w:rFonts w:hint="eastAsia" w:ascii="方正仿宋_GBK" w:hAnsi="方正仿宋_GBK" w:eastAsia="方正仿宋_GBK" w:cs="方正仿宋_GBK"/>
          <w:b/>
          <w:bCs w:val="0"/>
          <w:i w:val="0"/>
          <w:iCs/>
          <w:color w:val="auto"/>
          <w:sz w:val="32"/>
          <w:szCs w:val="32"/>
          <w:u w:val="none"/>
          <w:lang w:val="en-US" w:eastAsia="zh-CN"/>
        </w:rPr>
      </w:pPr>
      <w:bookmarkStart w:id="19" w:name="_Toc19199"/>
      <w:r>
        <w:rPr>
          <w:rFonts w:hint="eastAsia" w:ascii="方正仿宋_GBK" w:hAnsi="方正仿宋_GBK" w:eastAsia="方正仿宋_GBK" w:cs="方正仿宋_GBK"/>
          <w:b/>
          <w:bCs w:val="0"/>
          <w:i w:val="0"/>
          <w:iCs/>
          <w:color w:val="auto"/>
          <w:sz w:val="32"/>
          <w:szCs w:val="32"/>
          <w:u w:val="none"/>
          <w:lang w:val="en-US" w:eastAsia="zh-CN"/>
        </w:rPr>
        <w:t>（一）着力弥补普惠性救助不足，大力提升社会救助兜底保障功能</w:t>
      </w:r>
      <w:bookmarkEnd w:id="19"/>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0"/>
        <w:jc w:val="both"/>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急难救助是社会保障最后的“安全网”，在社会治理和社会建设中起到了不可或缺的兜底作用。我国社会救助制度重建于上世纪90年代，跨入21世纪之后，很快建立起了覆盖城乡的完善的社会救助体系，从“补缺型”转向了“适度普惠型”，社会民生得到了极大的保障，人民生活幸福感得到了极大的提高。受“普惠型”社会救助的保障水平限制，对于患有重大疾病、遭受意外灾害及其他特殊困难群体来说，在医保、民政救助等政策之外，个人承担的部分依然十分高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100" w:right="0" w:rightChars="0"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kern w:val="2"/>
          <w:sz w:val="32"/>
          <w:szCs w:val="32"/>
          <w:u w:val="none"/>
          <w:lang w:val="en-US" w:eastAsia="zh-CN" w:bidi="ar-SA"/>
        </w:rPr>
        <w:t>基金会始终坚持以习近平总书记关于扶贫工作重要论述为指导，全面贯彻落实党中央、国务院加强社会救助与扶贫开发有效衔接的重大决策部署，按照民政部和市委市政府工作安排，积极配合市民政局，</w:t>
      </w:r>
      <w:r>
        <w:rPr>
          <w:rFonts w:hint="eastAsia" w:ascii="方正仿宋_GBK" w:hAnsi="方正仿宋_GBK" w:eastAsia="方正仿宋_GBK" w:cs="方正仿宋_GBK"/>
          <w:color w:val="auto"/>
          <w:sz w:val="32"/>
          <w:szCs w:val="32"/>
          <w:u w:val="none"/>
          <w:lang w:val="en-US" w:eastAsia="zh-CN"/>
        </w:rPr>
        <w:t>对此部分群体进行补充救助，同时通过链接社会资源进行对口援助，</w:t>
      </w:r>
      <w:r>
        <w:rPr>
          <w:rFonts w:hint="eastAsia" w:ascii="方正仿宋_GBK" w:hAnsi="方正仿宋_GBK" w:eastAsia="方正仿宋_GBK" w:cs="方正仿宋_GBK"/>
          <w:color w:val="auto"/>
          <w:kern w:val="2"/>
          <w:sz w:val="32"/>
          <w:szCs w:val="32"/>
          <w:u w:val="none"/>
          <w:lang w:val="en-US" w:eastAsia="zh-CN" w:bidi="ar-SA"/>
        </w:rPr>
        <w:t>切实增强社会救助兜底保障功能，发挥社会救助在脱贫攻坚中“兜底一批”重要作用</w:t>
      </w:r>
      <w:r>
        <w:rPr>
          <w:rFonts w:hint="eastAsia" w:ascii="方正仿宋_GBK" w:hAnsi="方正仿宋_GBK" w:eastAsia="方正仿宋_GBK" w:cs="方正仿宋_GBK"/>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100" w:right="0" w:rightChars="0" w:firstLine="640" w:firstLineChars="200"/>
        <w:jc w:val="both"/>
        <w:textAlignment w:val="auto"/>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基金会的急难救助工作与低保以及各专项救助性质不同、功能各异，但又补充配合，协调发展。主要通过承接政府转介服务最大限度弥补政府社会救助普惠制的不足，专门对困难群众实施急难救助，</w:t>
      </w:r>
      <w:r>
        <w:rPr>
          <w:rFonts w:hint="eastAsia" w:ascii="方正仿宋_GBK" w:hAnsi="方正仿宋_GBK" w:eastAsia="方正仿宋_GBK" w:cs="方正仿宋_GBK"/>
          <w:color w:val="auto"/>
          <w:sz w:val="32"/>
          <w:szCs w:val="32"/>
          <w:u w:val="none"/>
          <w:lang w:val="en-US" w:eastAsia="zh-CN"/>
        </w:rPr>
        <w:t>极大的提升了低保群众的保障力度，缓解了他们的负担</w:t>
      </w:r>
      <w:r>
        <w:rPr>
          <w:rFonts w:hint="eastAsia" w:ascii="方正仿宋_GBK" w:hAnsi="方正仿宋_GBK" w:eastAsia="方正仿宋_GBK" w:cs="方正仿宋_GBK"/>
          <w:color w:val="auto"/>
          <w:kern w:val="2"/>
          <w:sz w:val="32"/>
          <w:szCs w:val="32"/>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100" w:right="0" w:rightChars="0" w:firstLine="640" w:firstLineChars="200"/>
        <w:jc w:val="both"/>
        <w:textAlignment w:val="auto"/>
        <w:rPr>
          <w:rFonts w:hint="eastAsia" w:ascii="仿宋_GB2312" w:hAnsi="仿宋_GB2312" w:eastAsia="仿宋_GB2312" w:cs="仿宋_GB2312"/>
          <w:color w:val="auto"/>
          <w:kern w:val="2"/>
          <w:sz w:val="32"/>
          <w:szCs w:val="32"/>
          <w:u w:val="none"/>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表2.1  2011-2020年救助对象及救助金额</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 xml:space="preserve">                                               人/户， 万元，%</w:t>
      </w:r>
    </w:p>
    <w:tbl>
      <w:tblPr>
        <w:tblStyle w:val="21"/>
        <w:tblW w:w="787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78"/>
        <w:gridCol w:w="1033"/>
        <w:gridCol w:w="1217"/>
        <w:gridCol w:w="1262"/>
        <w:gridCol w:w="1213"/>
        <w:gridCol w:w="15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blHeader/>
        </w:trPr>
        <w:tc>
          <w:tcPr>
            <w:tcW w:w="1578" w:type="dxa"/>
            <w:tcBorders>
              <w:top w:val="double" w:color="000000" w:sz="8" w:space="0"/>
              <w:left w:val="nil"/>
              <w:bottom w:val="single" w:color="000000" w:sz="16" w:space="0"/>
              <w:right w:val="nil"/>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lang w:eastAsia="zh-CN"/>
              </w:rPr>
              <w:t>救助对象</w:t>
            </w:r>
          </w:p>
        </w:tc>
        <w:tc>
          <w:tcPr>
            <w:tcW w:w="1033" w:type="dxa"/>
            <w:tcBorders>
              <w:top w:val="double" w:color="000000" w:sz="8" w:space="0"/>
              <w:left w:val="nil"/>
              <w:bottom w:val="single" w:color="000000" w:sz="16" w:space="0"/>
              <w:right w:val="nil"/>
              <w:tl2br w:val="nil"/>
              <w:tr2bl w:val="nil"/>
            </w:tcBorders>
            <w:shd w:val="clear" w:color="auto" w:fill="FFFFFF"/>
            <w:vAlign w:val="bottom"/>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lang w:eastAsia="zh-CN"/>
              </w:rPr>
              <w:t>救助人数</w:t>
            </w:r>
          </w:p>
        </w:tc>
        <w:tc>
          <w:tcPr>
            <w:tcW w:w="1217" w:type="dxa"/>
            <w:tcBorders>
              <w:top w:val="double" w:color="000000" w:sz="8" w:space="0"/>
              <w:left w:val="nil"/>
              <w:bottom w:val="single" w:color="000000" w:sz="16" w:space="0"/>
              <w:right w:val="nil"/>
              <w:tl2br w:val="nil"/>
              <w:tr2bl w:val="nil"/>
            </w:tcBorders>
            <w:shd w:val="clear" w:color="auto" w:fill="FFFFFF"/>
            <w:vAlign w:val="bottom"/>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百分比</w:t>
            </w:r>
          </w:p>
        </w:tc>
        <w:tc>
          <w:tcPr>
            <w:tcW w:w="1262" w:type="dxa"/>
            <w:tcBorders>
              <w:top w:val="double" w:color="000000" w:sz="8" w:space="0"/>
              <w:left w:val="nil"/>
              <w:bottom w:val="single" w:color="000000" w:sz="16" w:space="0"/>
              <w:right w:val="nil"/>
              <w:tl2br w:val="nil"/>
              <w:tr2bl w:val="nil"/>
            </w:tcBorders>
            <w:shd w:val="clear" w:color="auto" w:fill="FFFFFF"/>
            <w:vAlign w:val="bottom"/>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lang w:eastAsia="zh-CN"/>
              </w:rPr>
              <w:t>救助总金额</w:t>
            </w:r>
          </w:p>
        </w:tc>
        <w:tc>
          <w:tcPr>
            <w:tcW w:w="1213" w:type="dxa"/>
            <w:tcBorders>
              <w:top w:val="double" w:color="000000" w:sz="8" w:space="0"/>
              <w:left w:val="nil"/>
              <w:bottom w:val="single" w:color="000000" w:sz="16" w:space="0"/>
              <w:right w:val="nil"/>
              <w:tl2br w:val="nil"/>
              <w:tr2bl w:val="nil"/>
            </w:tcBorders>
            <w:shd w:val="clear" w:color="auto" w:fill="FFFFFF"/>
            <w:vAlign w:val="bottom"/>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lang w:eastAsia="zh-CN"/>
              </w:rPr>
              <w:t>百分比</w:t>
            </w:r>
          </w:p>
        </w:tc>
        <w:tc>
          <w:tcPr>
            <w:tcW w:w="1573" w:type="dxa"/>
            <w:tcBorders>
              <w:top w:val="double" w:color="000000" w:sz="8" w:space="0"/>
              <w:left w:val="nil"/>
              <w:bottom w:val="single" w:color="000000" w:sz="16" w:space="0"/>
              <w:right w:val="nil"/>
              <w:tl2br w:val="nil"/>
              <w:tr2bl w:val="nil"/>
            </w:tcBorders>
            <w:shd w:val="clear" w:color="auto" w:fill="FFFFFF"/>
            <w:vAlign w:val="bottom"/>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lang w:eastAsia="zh-CN"/>
              </w:rPr>
              <w:t>人均救助金额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blHeader/>
        </w:trPr>
        <w:tc>
          <w:tcPr>
            <w:tcW w:w="1578" w:type="dxa"/>
            <w:tcBorders>
              <w:top w:val="single" w:color="000000" w:sz="16" w:space="0"/>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农村低保对象</w:t>
            </w:r>
          </w:p>
        </w:tc>
        <w:tc>
          <w:tcPr>
            <w:tcW w:w="1033" w:type="dxa"/>
            <w:tcBorders>
              <w:top w:val="single" w:color="000000" w:sz="16" w:space="0"/>
              <w:left w:val="nil"/>
              <w:bottom w:val="nil"/>
              <w:right w:val="nil"/>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rPr>
              <w:t>2151</w:t>
            </w:r>
          </w:p>
        </w:tc>
        <w:tc>
          <w:tcPr>
            <w:tcW w:w="1217" w:type="dxa"/>
            <w:tcBorders>
              <w:top w:val="single" w:color="000000" w:sz="16" w:space="0"/>
              <w:left w:val="nil"/>
              <w:bottom w:val="nil"/>
              <w:right w:val="nil"/>
              <w:tl2br w:val="nil"/>
              <w:tr2bl w:val="nil"/>
            </w:tcBorders>
            <w:shd w:val="clear" w:color="auto" w:fill="FFFFFF"/>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rPr>
              <w:t>37.0%</w:t>
            </w:r>
          </w:p>
        </w:tc>
        <w:tc>
          <w:tcPr>
            <w:tcW w:w="1262" w:type="dxa"/>
            <w:tcBorders>
              <w:top w:val="single" w:color="000000" w:sz="16" w:space="0"/>
              <w:left w:val="nil"/>
              <w:bottom w:val="nil"/>
              <w:right w:val="nil"/>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i w:val="0"/>
                <w:iCs w:val="0"/>
                <w:color w:val="auto"/>
                <w:kern w:val="0"/>
                <w:sz w:val="24"/>
                <w:szCs w:val="24"/>
                <w:u w:val="none"/>
                <w:lang w:val="en-US" w:eastAsia="zh-CN"/>
              </w:rPr>
              <w:t>5309.5</w:t>
            </w:r>
          </w:p>
        </w:tc>
        <w:tc>
          <w:tcPr>
            <w:tcW w:w="1213" w:type="dxa"/>
            <w:tcBorders>
              <w:top w:val="single" w:color="000000" w:sz="16" w:space="0"/>
              <w:left w:val="nil"/>
              <w:bottom w:val="nil"/>
              <w:right w:val="nil"/>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i w:val="0"/>
                <w:iCs w:val="0"/>
                <w:color w:val="auto"/>
                <w:kern w:val="0"/>
                <w:sz w:val="24"/>
                <w:szCs w:val="24"/>
                <w:u w:val="none"/>
                <w:lang w:val="en-US" w:eastAsia="zh-CN"/>
              </w:rPr>
              <w:t>37.7%</w:t>
            </w:r>
          </w:p>
        </w:tc>
        <w:tc>
          <w:tcPr>
            <w:tcW w:w="1573" w:type="dxa"/>
            <w:tcBorders>
              <w:top w:val="single" w:color="000000" w:sz="16" w:space="0"/>
              <w:left w:val="nil"/>
              <w:bottom w:val="nil"/>
              <w:right w:val="nil"/>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rPr>
              <w:t>2.47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blHeader/>
        </w:trPr>
        <w:tc>
          <w:tcPr>
            <w:tcW w:w="1578"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城市低保对象</w:t>
            </w:r>
          </w:p>
        </w:tc>
        <w:tc>
          <w:tcPr>
            <w:tcW w:w="1033" w:type="dxa"/>
            <w:tcBorders>
              <w:top w:val="nil"/>
              <w:left w:val="nil"/>
              <w:bottom w:val="nil"/>
              <w:right w:val="nil"/>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rPr>
              <w:t>1004</w:t>
            </w:r>
          </w:p>
        </w:tc>
        <w:tc>
          <w:tcPr>
            <w:tcW w:w="1217" w:type="dxa"/>
            <w:tcBorders>
              <w:top w:val="nil"/>
              <w:left w:val="nil"/>
              <w:bottom w:val="nil"/>
              <w:right w:val="nil"/>
              <w:tl2br w:val="nil"/>
              <w:tr2bl w:val="nil"/>
            </w:tcBorders>
            <w:shd w:val="clear" w:color="auto" w:fill="FFFFFF"/>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rPr>
              <w:t>17.3%</w:t>
            </w:r>
          </w:p>
        </w:tc>
        <w:tc>
          <w:tcPr>
            <w:tcW w:w="1262" w:type="dxa"/>
            <w:tcBorders>
              <w:top w:val="nil"/>
              <w:left w:val="nil"/>
              <w:bottom w:val="nil"/>
              <w:right w:val="nil"/>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rPr>
              <w:t>2063.97</w:t>
            </w:r>
          </w:p>
        </w:tc>
        <w:tc>
          <w:tcPr>
            <w:tcW w:w="1213" w:type="dxa"/>
            <w:tcBorders>
              <w:top w:val="nil"/>
              <w:left w:val="nil"/>
              <w:bottom w:val="nil"/>
              <w:right w:val="nil"/>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rPr>
              <w:t>14.7%</w:t>
            </w:r>
          </w:p>
        </w:tc>
        <w:tc>
          <w:tcPr>
            <w:tcW w:w="1573" w:type="dxa"/>
            <w:tcBorders>
              <w:top w:val="nil"/>
              <w:left w:val="nil"/>
              <w:bottom w:val="nil"/>
              <w:right w:val="nil"/>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rPr>
              <w:t>2.06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blHeader/>
        </w:trPr>
        <w:tc>
          <w:tcPr>
            <w:tcW w:w="1578"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rPr>
              <w:t>特困供养</w:t>
            </w:r>
            <w:r>
              <w:rPr>
                <w:rFonts w:hint="eastAsia" w:ascii="仿宋_GB2312" w:hAnsi="仿宋_GB2312" w:eastAsia="仿宋_GB2312" w:cs="仿宋_GB2312"/>
                <w:color w:val="auto"/>
                <w:sz w:val="24"/>
                <w:szCs w:val="24"/>
                <w:u w:val="none"/>
                <w:lang w:eastAsia="zh-CN"/>
              </w:rPr>
              <w:t>人员</w:t>
            </w:r>
          </w:p>
        </w:tc>
        <w:tc>
          <w:tcPr>
            <w:tcW w:w="1033" w:type="dxa"/>
            <w:tcBorders>
              <w:top w:val="nil"/>
              <w:left w:val="nil"/>
              <w:bottom w:val="nil"/>
              <w:right w:val="nil"/>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rPr>
              <w:t>402</w:t>
            </w:r>
          </w:p>
        </w:tc>
        <w:tc>
          <w:tcPr>
            <w:tcW w:w="1217" w:type="dxa"/>
            <w:tcBorders>
              <w:top w:val="nil"/>
              <w:left w:val="nil"/>
              <w:bottom w:val="nil"/>
              <w:right w:val="nil"/>
              <w:tl2br w:val="nil"/>
              <w:tr2bl w:val="nil"/>
            </w:tcBorders>
            <w:shd w:val="clear" w:color="auto" w:fill="FFFFFF"/>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rPr>
              <w:t>6.9%</w:t>
            </w:r>
          </w:p>
        </w:tc>
        <w:tc>
          <w:tcPr>
            <w:tcW w:w="1262" w:type="dxa"/>
            <w:tcBorders>
              <w:top w:val="nil"/>
              <w:left w:val="nil"/>
              <w:bottom w:val="nil"/>
              <w:right w:val="nil"/>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rPr>
              <w:t>689.97</w:t>
            </w:r>
          </w:p>
        </w:tc>
        <w:tc>
          <w:tcPr>
            <w:tcW w:w="1213" w:type="dxa"/>
            <w:tcBorders>
              <w:top w:val="nil"/>
              <w:left w:val="nil"/>
              <w:bottom w:val="nil"/>
              <w:right w:val="nil"/>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rPr>
              <w:t>4.9%</w:t>
            </w:r>
          </w:p>
        </w:tc>
        <w:tc>
          <w:tcPr>
            <w:tcW w:w="1573" w:type="dxa"/>
            <w:tcBorders>
              <w:top w:val="nil"/>
              <w:left w:val="nil"/>
              <w:bottom w:val="nil"/>
              <w:right w:val="nil"/>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rPr>
              <w:t>1.72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blHeader/>
        </w:trPr>
        <w:tc>
          <w:tcPr>
            <w:tcW w:w="1578"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rPr>
              <w:t>贫困</w:t>
            </w:r>
            <w:r>
              <w:rPr>
                <w:rFonts w:hint="eastAsia" w:ascii="仿宋_GB2312" w:hAnsi="仿宋_GB2312" w:eastAsia="仿宋_GB2312" w:cs="仿宋_GB2312"/>
                <w:color w:val="auto"/>
                <w:sz w:val="24"/>
                <w:szCs w:val="24"/>
                <w:u w:val="none"/>
                <w:lang w:eastAsia="zh-CN"/>
              </w:rPr>
              <w:t>户</w:t>
            </w:r>
          </w:p>
        </w:tc>
        <w:tc>
          <w:tcPr>
            <w:tcW w:w="1033" w:type="dxa"/>
            <w:tcBorders>
              <w:top w:val="nil"/>
              <w:left w:val="nil"/>
              <w:bottom w:val="nil"/>
              <w:right w:val="nil"/>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rPr>
              <w:t>1257</w:t>
            </w:r>
          </w:p>
        </w:tc>
        <w:tc>
          <w:tcPr>
            <w:tcW w:w="1217" w:type="dxa"/>
            <w:tcBorders>
              <w:top w:val="nil"/>
              <w:left w:val="nil"/>
              <w:bottom w:val="nil"/>
              <w:right w:val="nil"/>
              <w:tl2br w:val="nil"/>
              <w:tr2bl w:val="nil"/>
            </w:tcBorders>
            <w:shd w:val="clear" w:color="auto" w:fill="FFFFFF"/>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rPr>
              <w:t>21.6%</w:t>
            </w:r>
          </w:p>
        </w:tc>
        <w:tc>
          <w:tcPr>
            <w:tcW w:w="1262" w:type="dxa"/>
            <w:tcBorders>
              <w:top w:val="nil"/>
              <w:left w:val="nil"/>
              <w:bottom w:val="nil"/>
              <w:right w:val="nil"/>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rPr>
              <w:t>3332.29</w:t>
            </w:r>
          </w:p>
        </w:tc>
        <w:tc>
          <w:tcPr>
            <w:tcW w:w="1213" w:type="dxa"/>
            <w:tcBorders>
              <w:top w:val="nil"/>
              <w:left w:val="nil"/>
              <w:bottom w:val="nil"/>
              <w:right w:val="nil"/>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rPr>
              <w:t>23.7%</w:t>
            </w:r>
          </w:p>
        </w:tc>
        <w:tc>
          <w:tcPr>
            <w:tcW w:w="1573" w:type="dxa"/>
            <w:tcBorders>
              <w:top w:val="nil"/>
              <w:left w:val="nil"/>
              <w:bottom w:val="nil"/>
              <w:right w:val="nil"/>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rPr>
              <w:t>2.65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blHeader/>
        </w:trPr>
        <w:tc>
          <w:tcPr>
            <w:tcW w:w="1578"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困难人群</w:t>
            </w:r>
          </w:p>
        </w:tc>
        <w:tc>
          <w:tcPr>
            <w:tcW w:w="1033" w:type="dxa"/>
            <w:tcBorders>
              <w:top w:val="nil"/>
              <w:left w:val="nil"/>
              <w:bottom w:val="nil"/>
              <w:right w:val="nil"/>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rPr>
              <w:t>956</w:t>
            </w:r>
          </w:p>
        </w:tc>
        <w:tc>
          <w:tcPr>
            <w:tcW w:w="1217" w:type="dxa"/>
            <w:tcBorders>
              <w:top w:val="nil"/>
              <w:left w:val="nil"/>
              <w:bottom w:val="nil"/>
              <w:right w:val="nil"/>
              <w:tl2br w:val="nil"/>
              <w:tr2bl w:val="nil"/>
            </w:tcBorders>
            <w:shd w:val="clear" w:color="auto" w:fill="FFFFFF"/>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rPr>
              <w:t>16.4%</w:t>
            </w:r>
          </w:p>
        </w:tc>
        <w:tc>
          <w:tcPr>
            <w:tcW w:w="1262" w:type="dxa"/>
            <w:tcBorders>
              <w:top w:val="nil"/>
              <w:left w:val="nil"/>
              <w:bottom w:val="nil"/>
              <w:right w:val="nil"/>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rPr>
              <w:t>2630.2</w:t>
            </w:r>
          </w:p>
        </w:tc>
        <w:tc>
          <w:tcPr>
            <w:tcW w:w="1213" w:type="dxa"/>
            <w:tcBorders>
              <w:top w:val="nil"/>
              <w:left w:val="nil"/>
              <w:bottom w:val="nil"/>
              <w:right w:val="nil"/>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rPr>
              <w:t>18.7%</w:t>
            </w:r>
          </w:p>
        </w:tc>
        <w:tc>
          <w:tcPr>
            <w:tcW w:w="1573" w:type="dxa"/>
            <w:tcBorders>
              <w:top w:val="nil"/>
              <w:left w:val="nil"/>
              <w:bottom w:val="nil"/>
              <w:right w:val="nil"/>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rPr>
              <w:t>2.75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blHeader/>
        </w:trPr>
        <w:tc>
          <w:tcPr>
            <w:tcW w:w="1578"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rPr>
              <w:t>其</w:t>
            </w:r>
            <w:r>
              <w:rPr>
                <w:rFonts w:hint="eastAsia" w:ascii="仿宋_GB2312" w:hAnsi="仿宋_GB2312" w:eastAsia="仿宋_GB2312" w:cs="仿宋_GB2312"/>
                <w:color w:val="auto"/>
                <w:sz w:val="24"/>
                <w:szCs w:val="24"/>
                <w:u w:val="none"/>
                <w:lang w:eastAsia="zh-CN"/>
              </w:rPr>
              <w:t>他</w:t>
            </w:r>
          </w:p>
        </w:tc>
        <w:tc>
          <w:tcPr>
            <w:tcW w:w="1033" w:type="dxa"/>
            <w:tcBorders>
              <w:top w:val="nil"/>
              <w:left w:val="nil"/>
              <w:bottom w:val="nil"/>
              <w:right w:val="nil"/>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rPr>
              <w:t>13</w:t>
            </w:r>
          </w:p>
        </w:tc>
        <w:tc>
          <w:tcPr>
            <w:tcW w:w="1217" w:type="dxa"/>
            <w:tcBorders>
              <w:top w:val="nil"/>
              <w:left w:val="nil"/>
              <w:bottom w:val="nil"/>
              <w:right w:val="nil"/>
              <w:tl2br w:val="nil"/>
              <w:tr2bl w:val="nil"/>
            </w:tcBorders>
            <w:shd w:val="clear" w:color="auto" w:fill="FFFFFF"/>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rPr>
              <w:t>0.2%</w:t>
            </w:r>
          </w:p>
        </w:tc>
        <w:tc>
          <w:tcPr>
            <w:tcW w:w="1262" w:type="dxa"/>
            <w:tcBorders>
              <w:top w:val="nil"/>
              <w:left w:val="nil"/>
              <w:bottom w:val="nil"/>
              <w:right w:val="nil"/>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rPr>
              <w:t>40.5</w:t>
            </w:r>
          </w:p>
        </w:tc>
        <w:tc>
          <w:tcPr>
            <w:tcW w:w="1213" w:type="dxa"/>
            <w:tcBorders>
              <w:top w:val="nil"/>
              <w:left w:val="nil"/>
              <w:bottom w:val="nil"/>
              <w:right w:val="nil"/>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rPr>
              <w:t>0.3%</w:t>
            </w:r>
          </w:p>
        </w:tc>
        <w:tc>
          <w:tcPr>
            <w:tcW w:w="1573" w:type="dxa"/>
            <w:tcBorders>
              <w:top w:val="nil"/>
              <w:left w:val="nil"/>
              <w:bottom w:val="nil"/>
              <w:right w:val="nil"/>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rPr>
              <w:t>3.12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1578" w:type="dxa"/>
            <w:tcBorders>
              <w:top w:val="nil"/>
              <w:left w:val="nil"/>
              <w:bottom w:val="double" w:color="000000" w:sz="8" w:space="0"/>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合计</w:t>
            </w:r>
          </w:p>
        </w:tc>
        <w:tc>
          <w:tcPr>
            <w:tcW w:w="1033" w:type="dxa"/>
            <w:tcBorders>
              <w:top w:val="nil"/>
              <w:left w:val="nil"/>
              <w:bottom w:val="double" w:color="000000" w:sz="8" w:space="0"/>
              <w:right w:val="nil"/>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rPr>
              <w:t>5813</w:t>
            </w:r>
          </w:p>
        </w:tc>
        <w:tc>
          <w:tcPr>
            <w:tcW w:w="1217" w:type="dxa"/>
            <w:tcBorders>
              <w:top w:val="nil"/>
              <w:left w:val="nil"/>
              <w:bottom w:val="double" w:color="000000" w:sz="8" w:space="0"/>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100.0</w:t>
            </w:r>
          </w:p>
        </w:tc>
        <w:tc>
          <w:tcPr>
            <w:tcW w:w="1262" w:type="dxa"/>
            <w:tcBorders>
              <w:top w:val="nil"/>
              <w:left w:val="nil"/>
              <w:bottom w:val="double" w:color="000000" w:sz="8" w:space="0"/>
              <w:right w:val="nil"/>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rPr>
              <w:t>14066.43</w:t>
            </w:r>
          </w:p>
        </w:tc>
        <w:tc>
          <w:tcPr>
            <w:tcW w:w="1213" w:type="dxa"/>
            <w:tcBorders>
              <w:top w:val="nil"/>
              <w:left w:val="nil"/>
              <w:bottom w:val="double" w:color="000000" w:sz="8" w:space="0"/>
              <w:right w:val="nil"/>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rPr>
              <w:t>100.0%</w:t>
            </w:r>
          </w:p>
        </w:tc>
        <w:tc>
          <w:tcPr>
            <w:tcW w:w="1573" w:type="dxa"/>
            <w:tcBorders>
              <w:top w:val="nil"/>
              <w:left w:val="nil"/>
              <w:bottom w:val="double" w:color="000000" w:sz="8" w:space="0"/>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注：以上统计人数不包含社区救助对象。其他中包含藏族同胞、三峡移民、统战对象等等。</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2011-2020年，基金会共救助了5813人/户，其中农村低保对象2151人/户，占比37%，城市低保对象1004人，占比17.3%，合计低保对象共3155人，占比54.3%；特困供养/优抚人员402人，占比6.9%；即共有61.2%的救助对象为政府常规救助对象。他们往往在遭遇重大疾病和重大灾（伤）害，享受各类社会保障及社会救助政策后，个人及家庭仍无力承担治疗或康复费用，陷入无力自拔的境地，急需要得到政府和社会的帮助与关爱。</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以救助资金来看，农村低保对象的救助金额共5309.50万元，占比37.7%；城市低保对象的救助金额共2063.97万元，占比14.7%；低保对象救助金额共7373.47万元，达到了救助总额的52.4%。特困供养/优抚人员救助金额共689.97万元，占比4.9%；即共有62.3%的资金用于政府常规救助对象遭遇重大困难时的额外救助。农村低保对象与城市低保对象的救助金额高于其它困难群体。</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2011-2020年，低保人群的救助人数增长明显，突显了对低保人群有力的兜底作用。</w:t>
      </w:r>
    </w:p>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eastAsia="zh-CN"/>
        </w:rPr>
        <w:t>表</w:t>
      </w:r>
      <w:r>
        <w:rPr>
          <w:rFonts w:hint="eastAsia" w:ascii="仿宋_GB2312" w:hAnsi="仿宋_GB2312" w:eastAsia="仿宋_GB2312" w:cs="仿宋_GB2312"/>
          <w:color w:val="auto"/>
          <w:sz w:val="24"/>
          <w:szCs w:val="24"/>
          <w:u w:val="none"/>
          <w:lang w:val="en-US" w:eastAsia="zh-CN"/>
        </w:rPr>
        <w:t>2.2 2014-2018年救助对象年度颁布</w:t>
      </w:r>
    </w:p>
    <w:p>
      <w:pPr>
        <w:keepNext w:val="0"/>
        <w:keepLines w:val="0"/>
        <w:pageBreakBefore w:val="0"/>
        <w:kinsoku/>
        <w:wordWrap/>
        <w:overflowPunct/>
        <w:topLinePunct w:val="0"/>
        <w:autoSpaceDE/>
        <w:autoSpaceDN/>
        <w:bidi w:val="0"/>
        <w:adjustRightInd/>
        <w:snapToGrid/>
        <w:spacing w:line="360" w:lineRule="auto"/>
        <w:ind w:firstLine="3600" w:firstLineChars="1500"/>
        <w:jc w:val="right"/>
        <w:rPr>
          <w:rFonts w:hint="eastAsia" w:ascii="仿宋_GB2312" w:hAnsi="仿宋_GB2312" w:eastAsia="仿宋_GB2312" w:cs="仿宋_GB2312"/>
          <w:color w:val="auto"/>
          <w:sz w:val="24"/>
          <w:szCs w:val="24"/>
          <w:u w:val="none"/>
          <w:lang w:val="en-US"/>
        </w:rPr>
      </w:pPr>
      <w:r>
        <w:rPr>
          <w:rFonts w:hint="eastAsia" w:ascii="仿宋_GB2312" w:hAnsi="仿宋_GB2312" w:eastAsia="仿宋_GB2312" w:cs="仿宋_GB2312"/>
          <w:color w:val="auto"/>
          <w:sz w:val="24"/>
          <w:szCs w:val="24"/>
          <w:u w:val="none"/>
          <w:lang w:val="en-US" w:eastAsia="zh-CN"/>
        </w:rPr>
        <w:t>人/户</w:t>
      </w:r>
    </w:p>
    <w:tbl>
      <w:tblPr>
        <w:tblStyle w:val="21"/>
        <w:tblpPr w:leftFromText="180" w:rightFromText="180" w:vertAnchor="text" w:horzAnchor="page" w:tblpX="1288" w:tblpY="140"/>
        <w:tblOverlap w:val="never"/>
        <w:tblW w:w="899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9"/>
        <w:gridCol w:w="1575"/>
        <w:gridCol w:w="1575"/>
        <w:gridCol w:w="1550"/>
        <w:gridCol w:w="833"/>
        <w:gridCol w:w="1025"/>
        <w:gridCol w:w="774"/>
        <w:gridCol w:w="101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blHeader/>
        </w:trPr>
        <w:tc>
          <w:tcPr>
            <w:tcW w:w="649" w:type="dxa"/>
            <w:tcBorders>
              <w:top w:val="double" w:color="000000" w:sz="8" w:space="0"/>
              <w:left w:val="nil"/>
              <w:bottom w:val="single" w:color="000000" w:sz="16" w:space="0"/>
              <w:right w:val="nil"/>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color w:val="auto"/>
                <w:sz w:val="24"/>
                <w:szCs w:val="24"/>
                <w:u w:val="none"/>
              </w:rPr>
            </w:pPr>
          </w:p>
        </w:tc>
        <w:tc>
          <w:tcPr>
            <w:tcW w:w="1575" w:type="dxa"/>
            <w:tcBorders>
              <w:top w:val="double" w:color="000000" w:sz="8" w:space="0"/>
              <w:left w:val="nil"/>
              <w:bottom w:val="single" w:color="000000" w:sz="16" w:space="0"/>
              <w:right w:val="nil"/>
              <w:tl2br w:val="nil"/>
              <w:tr2bl w:val="nil"/>
            </w:tcBorders>
            <w:shd w:val="clear" w:color="auto" w:fill="FFFFFF"/>
            <w:vAlign w:val="bottom"/>
          </w:tcPr>
          <w:p>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农村低保对象</w:t>
            </w:r>
          </w:p>
        </w:tc>
        <w:tc>
          <w:tcPr>
            <w:tcW w:w="1575" w:type="dxa"/>
            <w:tcBorders>
              <w:top w:val="double" w:color="000000" w:sz="8" w:space="0"/>
              <w:left w:val="nil"/>
              <w:bottom w:val="single" w:color="000000" w:sz="16" w:space="0"/>
              <w:right w:val="nil"/>
              <w:tl2br w:val="nil"/>
              <w:tr2bl w:val="nil"/>
            </w:tcBorders>
            <w:shd w:val="clear" w:color="auto" w:fill="FFFFFF"/>
            <w:vAlign w:val="bottom"/>
          </w:tcPr>
          <w:p>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城市低保对象</w:t>
            </w:r>
          </w:p>
        </w:tc>
        <w:tc>
          <w:tcPr>
            <w:tcW w:w="1550" w:type="dxa"/>
            <w:tcBorders>
              <w:top w:val="double" w:color="000000" w:sz="8" w:space="0"/>
              <w:left w:val="nil"/>
              <w:bottom w:val="single" w:color="000000" w:sz="16" w:space="0"/>
              <w:right w:val="nil"/>
              <w:tl2br w:val="nil"/>
              <w:tr2bl w:val="nil"/>
            </w:tcBorders>
            <w:shd w:val="clear" w:color="auto" w:fill="FFFFFF"/>
            <w:vAlign w:val="bottom"/>
          </w:tcPr>
          <w:p>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特困供养人员</w:t>
            </w:r>
          </w:p>
        </w:tc>
        <w:tc>
          <w:tcPr>
            <w:tcW w:w="833" w:type="dxa"/>
            <w:tcBorders>
              <w:top w:val="double" w:color="000000" w:sz="8" w:space="0"/>
              <w:left w:val="nil"/>
              <w:bottom w:val="single" w:color="000000" w:sz="16" w:space="0"/>
              <w:right w:val="nil"/>
              <w:tl2br w:val="nil"/>
              <w:tr2bl w:val="nil"/>
            </w:tcBorders>
            <w:shd w:val="clear" w:color="auto" w:fill="FFFFFF"/>
            <w:vAlign w:val="bottom"/>
          </w:tcPr>
          <w:p>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贫困户</w:t>
            </w:r>
          </w:p>
        </w:tc>
        <w:tc>
          <w:tcPr>
            <w:tcW w:w="1025" w:type="dxa"/>
            <w:tcBorders>
              <w:top w:val="double" w:color="000000" w:sz="8" w:space="0"/>
              <w:left w:val="nil"/>
              <w:bottom w:val="single" w:color="000000" w:sz="16" w:space="0"/>
              <w:right w:val="nil"/>
              <w:tl2br w:val="nil"/>
              <w:tr2bl w:val="nil"/>
            </w:tcBorders>
            <w:shd w:val="clear" w:color="auto" w:fill="FFFFFF"/>
            <w:vAlign w:val="bottom"/>
          </w:tcPr>
          <w:p>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困难人群</w:t>
            </w:r>
          </w:p>
        </w:tc>
        <w:tc>
          <w:tcPr>
            <w:tcW w:w="774" w:type="dxa"/>
            <w:tcBorders>
              <w:top w:val="double" w:color="000000" w:sz="8" w:space="0"/>
              <w:left w:val="nil"/>
              <w:bottom w:val="single" w:color="000000" w:sz="16" w:space="0"/>
              <w:right w:val="nil"/>
              <w:tl2br w:val="nil"/>
              <w:tr2bl w:val="nil"/>
            </w:tcBorders>
            <w:shd w:val="clear" w:color="auto" w:fill="FFFFFF"/>
            <w:vAlign w:val="bottom"/>
          </w:tcPr>
          <w:p>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其它</w:t>
            </w:r>
          </w:p>
        </w:tc>
        <w:tc>
          <w:tcPr>
            <w:tcW w:w="1010" w:type="dxa"/>
            <w:tcBorders>
              <w:top w:val="double" w:color="000000" w:sz="8" w:space="0"/>
              <w:left w:val="nil"/>
              <w:bottom w:val="single" w:color="000000" w:sz="16" w:space="0"/>
              <w:right w:val="nil"/>
              <w:tl2br w:val="nil"/>
              <w:tr2bl w:val="nil"/>
            </w:tcBorders>
            <w:shd w:val="clear" w:color="auto" w:fill="FFFFFF"/>
            <w:vAlign w:val="bottom"/>
          </w:tcPr>
          <w:p>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lang w:eastAsia="zh-CN"/>
              </w:rPr>
              <w:t>合计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blHeader/>
        </w:trPr>
        <w:tc>
          <w:tcPr>
            <w:tcW w:w="649" w:type="dxa"/>
            <w:tcBorders>
              <w:top w:val="double" w:color="000000" w:sz="8" w:space="0"/>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2011</w:t>
            </w:r>
          </w:p>
        </w:tc>
        <w:tc>
          <w:tcPr>
            <w:tcW w:w="1575" w:type="dxa"/>
            <w:tcBorders>
              <w:top w:val="double" w:color="000000" w:sz="8" w:space="0"/>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8</w:t>
            </w:r>
          </w:p>
        </w:tc>
        <w:tc>
          <w:tcPr>
            <w:tcW w:w="1575" w:type="dxa"/>
            <w:tcBorders>
              <w:top w:val="double" w:color="000000" w:sz="8" w:space="0"/>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9</w:t>
            </w:r>
          </w:p>
        </w:tc>
        <w:tc>
          <w:tcPr>
            <w:tcW w:w="1550" w:type="dxa"/>
            <w:tcBorders>
              <w:top w:val="double" w:color="000000" w:sz="8" w:space="0"/>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2</w:t>
            </w:r>
          </w:p>
        </w:tc>
        <w:tc>
          <w:tcPr>
            <w:tcW w:w="833" w:type="dxa"/>
            <w:tcBorders>
              <w:top w:val="double" w:color="000000" w:sz="8" w:space="0"/>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w:t>
            </w:r>
          </w:p>
        </w:tc>
        <w:tc>
          <w:tcPr>
            <w:tcW w:w="1025" w:type="dxa"/>
            <w:tcBorders>
              <w:top w:val="double" w:color="000000" w:sz="8" w:space="0"/>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18</w:t>
            </w:r>
          </w:p>
        </w:tc>
        <w:tc>
          <w:tcPr>
            <w:tcW w:w="774" w:type="dxa"/>
            <w:tcBorders>
              <w:top w:val="double" w:color="000000" w:sz="8" w:space="0"/>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7</w:t>
            </w:r>
          </w:p>
        </w:tc>
        <w:tc>
          <w:tcPr>
            <w:tcW w:w="1010" w:type="dxa"/>
            <w:tcBorders>
              <w:top w:val="double" w:color="000000" w:sz="8" w:space="0"/>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rPr>
              <w:t>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blHeader/>
        </w:trPr>
        <w:tc>
          <w:tcPr>
            <w:tcW w:w="649"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2012</w:t>
            </w:r>
          </w:p>
        </w:tc>
        <w:tc>
          <w:tcPr>
            <w:tcW w:w="1575"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27</w:t>
            </w:r>
          </w:p>
        </w:tc>
        <w:tc>
          <w:tcPr>
            <w:tcW w:w="1575"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31</w:t>
            </w:r>
          </w:p>
        </w:tc>
        <w:tc>
          <w:tcPr>
            <w:tcW w:w="1550"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2</w:t>
            </w:r>
          </w:p>
        </w:tc>
        <w:tc>
          <w:tcPr>
            <w:tcW w:w="833"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0</w:t>
            </w:r>
          </w:p>
        </w:tc>
        <w:tc>
          <w:tcPr>
            <w:tcW w:w="1025"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128</w:t>
            </w:r>
          </w:p>
        </w:tc>
        <w:tc>
          <w:tcPr>
            <w:tcW w:w="774"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0</w:t>
            </w:r>
          </w:p>
        </w:tc>
        <w:tc>
          <w:tcPr>
            <w:tcW w:w="1010"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rPr>
              <w:t>188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blHeader/>
        </w:trPr>
        <w:tc>
          <w:tcPr>
            <w:tcW w:w="649"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2013</w:t>
            </w:r>
          </w:p>
        </w:tc>
        <w:tc>
          <w:tcPr>
            <w:tcW w:w="1575"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66</w:t>
            </w:r>
          </w:p>
        </w:tc>
        <w:tc>
          <w:tcPr>
            <w:tcW w:w="1575"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41</w:t>
            </w:r>
          </w:p>
        </w:tc>
        <w:tc>
          <w:tcPr>
            <w:tcW w:w="1550"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18</w:t>
            </w:r>
          </w:p>
        </w:tc>
        <w:tc>
          <w:tcPr>
            <w:tcW w:w="833"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18</w:t>
            </w:r>
          </w:p>
        </w:tc>
        <w:tc>
          <w:tcPr>
            <w:tcW w:w="1025"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158</w:t>
            </w:r>
          </w:p>
        </w:tc>
        <w:tc>
          <w:tcPr>
            <w:tcW w:w="774"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0</w:t>
            </w:r>
          </w:p>
        </w:tc>
        <w:tc>
          <w:tcPr>
            <w:tcW w:w="1010"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rPr>
              <w:t>301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blHeader/>
        </w:trPr>
        <w:tc>
          <w:tcPr>
            <w:tcW w:w="649"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2014</w:t>
            </w:r>
          </w:p>
        </w:tc>
        <w:tc>
          <w:tcPr>
            <w:tcW w:w="1575"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108</w:t>
            </w:r>
          </w:p>
        </w:tc>
        <w:tc>
          <w:tcPr>
            <w:tcW w:w="1575"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71</w:t>
            </w:r>
          </w:p>
        </w:tc>
        <w:tc>
          <w:tcPr>
            <w:tcW w:w="1550"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29</w:t>
            </w:r>
          </w:p>
        </w:tc>
        <w:tc>
          <w:tcPr>
            <w:tcW w:w="833"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185</w:t>
            </w:r>
          </w:p>
        </w:tc>
        <w:tc>
          <w:tcPr>
            <w:tcW w:w="1025"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4</w:t>
            </w:r>
          </w:p>
        </w:tc>
        <w:tc>
          <w:tcPr>
            <w:tcW w:w="774"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2</w:t>
            </w:r>
          </w:p>
        </w:tc>
        <w:tc>
          <w:tcPr>
            <w:tcW w:w="1010"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399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blHeader/>
        </w:trPr>
        <w:tc>
          <w:tcPr>
            <w:tcW w:w="649"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2015</w:t>
            </w:r>
          </w:p>
        </w:tc>
        <w:tc>
          <w:tcPr>
            <w:tcW w:w="1575"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152</w:t>
            </w:r>
          </w:p>
        </w:tc>
        <w:tc>
          <w:tcPr>
            <w:tcW w:w="1575"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71</w:t>
            </w:r>
          </w:p>
        </w:tc>
        <w:tc>
          <w:tcPr>
            <w:tcW w:w="1550"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17</w:t>
            </w:r>
          </w:p>
        </w:tc>
        <w:tc>
          <w:tcPr>
            <w:tcW w:w="833"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280</w:t>
            </w:r>
          </w:p>
        </w:tc>
        <w:tc>
          <w:tcPr>
            <w:tcW w:w="1025"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3</w:t>
            </w:r>
          </w:p>
        </w:tc>
        <w:tc>
          <w:tcPr>
            <w:tcW w:w="774"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2</w:t>
            </w:r>
          </w:p>
        </w:tc>
        <w:tc>
          <w:tcPr>
            <w:tcW w:w="1010"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525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blHeader/>
        </w:trPr>
        <w:tc>
          <w:tcPr>
            <w:tcW w:w="649"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2016</w:t>
            </w:r>
          </w:p>
        </w:tc>
        <w:tc>
          <w:tcPr>
            <w:tcW w:w="1575"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173</w:t>
            </w:r>
          </w:p>
        </w:tc>
        <w:tc>
          <w:tcPr>
            <w:tcW w:w="1575"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74</w:t>
            </w:r>
          </w:p>
        </w:tc>
        <w:tc>
          <w:tcPr>
            <w:tcW w:w="1550"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22</w:t>
            </w:r>
          </w:p>
        </w:tc>
        <w:tc>
          <w:tcPr>
            <w:tcW w:w="833"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176</w:t>
            </w:r>
          </w:p>
        </w:tc>
        <w:tc>
          <w:tcPr>
            <w:tcW w:w="1025"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188</w:t>
            </w:r>
          </w:p>
        </w:tc>
        <w:tc>
          <w:tcPr>
            <w:tcW w:w="774"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0</w:t>
            </w:r>
          </w:p>
        </w:tc>
        <w:tc>
          <w:tcPr>
            <w:tcW w:w="1010"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633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blHeader/>
        </w:trPr>
        <w:tc>
          <w:tcPr>
            <w:tcW w:w="649"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2017</w:t>
            </w:r>
          </w:p>
        </w:tc>
        <w:tc>
          <w:tcPr>
            <w:tcW w:w="1575"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280</w:t>
            </w:r>
          </w:p>
        </w:tc>
        <w:tc>
          <w:tcPr>
            <w:tcW w:w="1575"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97</w:t>
            </w:r>
          </w:p>
        </w:tc>
        <w:tc>
          <w:tcPr>
            <w:tcW w:w="1550"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21</w:t>
            </w:r>
          </w:p>
        </w:tc>
        <w:tc>
          <w:tcPr>
            <w:tcW w:w="833"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157</w:t>
            </w:r>
          </w:p>
        </w:tc>
        <w:tc>
          <w:tcPr>
            <w:tcW w:w="1025"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211</w:t>
            </w:r>
          </w:p>
        </w:tc>
        <w:tc>
          <w:tcPr>
            <w:tcW w:w="774"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2</w:t>
            </w:r>
          </w:p>
        </w:tc>
        <w:tc>
          <w:tcPr>
            <w:tcW w:w="1010"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768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blHeader/>
        </w:trPr>
        <w:tc>
          <w:tcPr>
            <w:tcW w:w="649"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2018</w:t>
            </w:r>
          </w:p>
        </w:tc>
        <w:tc>
          <w:tcPr>
            <w:tcW w:w="1575"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291</w:t>
            </w:r>
          </w:p>
        </w:tc>
        <w:tc>
          <w:tcPr>
            <w:tcW w:w="1575"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77</w:t>
            </w:r>
          </w:p>
        </w:tc>
        <w:tc>
          <w:tcPr>
            <w:tcW w:w="1550"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109</w:t>
            </w:r>
          </w:p>
        </w:tc>
        <w:tc>
          <w:tcPr>
            <w:tcW w:w="833"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179</w:t>
            </w:r>
          </w:p>
        </w:tc>
        <w:tc>
          <w:tcPr>
            <w:tcW w:w="1025"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133</w:t>
            </w:r>
          </w:p>
        </w:tc>
        <w:tc>
          <w:tcPr>
            <w:tcW w:w="774"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0</w:t>
            </w:r>
          </w:p>
        </w:tc>
        <w:tc>
          <w:tcPr>
            <w:tcW w:w="1010"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789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blHeader/>
        </w:trPr>
        <w:tc>
          <w:tcPr>
            <w:tcW w:w="649"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2019</w:t>
            </w:r>
          </w:p>
        </w:tc>
        <w:tc>
          <w:tcPr>
            <w:tcW w:w="1575"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321</w:t>
            </w:r>
          </w:p>
        </w:tc>
        <w:tc>
          <w:tcPr>
            <w:tcW w:w="1575"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110</w:t>
            </w:r>
          </w:p>
        </w:tc>
        <w:tc>
          <w:tcPr>
            <w:tcW w:w="1550"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132</w:t>
            </w:r>
          </w:p>
        </w:tc>
        <w:tc>
          <w:tcPr>
            <w:tcW w:w="833"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162</w:t>
            </w:r>
          </w:p>
        </w:tc>
        <w:tc>
          <w:tcPr>
            <w:tcW w:w="1025"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75</w:t>
            </w:r>
          </w:p>
        </w:tc>
        <w:tc>
          <w:tcPr>
            <w:tcW w:w="774"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0</w:t>
            </w:r>
          </w:p>
        </w:tc>
        <w:tc>
          <w:tcPr>
            <w:tcW w:w="1010"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blHeader/>
        </w:trPr>
        <w:tc>
          <w:tcPr>
            <w:tcW w:w="649"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2020</w:t>
            </w:r>
          </w:p>
        </w:tc>
        <w:tc>
          <w:tcPr>
            <w:tcW w:w="1575"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725</w:t>
            </w:r>
          </w:p>
        </w:tc>
        <w:tc>
          <w:tcPr>
            <w:tcW w:w="1575"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423</w:t>
            </w:r>
          </w:p>
        </w:tc>
        <w:tc>
          <w:tcPr>
            <w:tcW w:w="1550"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50</w:t>
            </w:r>
          </w:p>
        </w:tc>
        <w:tc>
          <w:tcPr>
            <w:tcW w:w="833"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99</w:t>
            </w:r>
          </w:p>
        </w:tc>
        <w:tc>
          <w:tcPr>
            <w:tcW w:w="1025"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68</w:t>
            </w:r>
          </w:p>
        </w:tc>
        <w:tc>
          <w:tcPr>
            <w:tcW w:w="774"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0</w:t>
            </w:r>
          </w:p>
        </w:tc>
        <w:tc>
          <w:tcPr>
            <w:tcW w:w="1010"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1365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649" w:type="dxa"/>
            <w:tcBorders>
              <w:top w:val="nil"/>
              <w:left w:val="nil"/>
              <w:bottom w:val="double" w:color="000000" w:sz="8" w:space="0"/>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合计</w:t>
            </w:r>
          </w:p>
        </w:tc>
        <w:tc>
          <w:tcPr>
            <w:tcW w:w="1575" w:type="dxa"/>
            <w:tcBorders>
              <w:top w:val="nil"/>
              <w:left w:val="nil"/>
              <w:bottom w:val="double" w:color="000000" w:sz="8" w:space="0"/>
              <w:right w:val="nil"/>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rPr>
              <w:t>2151</w:t>
            </w:r>
          </w:p>
        </w:tc>
        <w:tc>
          <w:tcPr>
            <w:tcW w:w="1575" w:type="dxa"/>
            <w:tcBorders>
              <w:top w:val="nil"/>
              <w:left w:val="nil"/>
              <w:bottom w:val="double" w:color="000000" w:sz="8" w:space="0"/>
              <w:right w:val="nil"/>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rPr>
              <w:t>1004</w:t>
            </w:r>
          </w:p>
        </w:tc>
        <w:tc>
          <w:tcPr>
            <w:tcW w:w="1550" w:type="dxa"/>
            <w:tcBorders>
              <w:top w:val="nil"/>
              <w:left w:val="nil"/>
              <w:bottom w:val="double" w:color="000000" w:sz="8" w:space="0"/>
              <w:right w:val="nil"/>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rPr>
              <w:t>402</w:t>
            </w:r>
          </w:p>
        </w:tc>
        <w:tc>
          <w:tcPr>
            <w:tcW w:w="833" w:type="dxa"/>
            <w:tcBorders>
              <w:top w:val="nil"/>
              <w:left w:val="nil"/>
              <w:bottom w:val="double" w:color="000000" w:sz="8" w:space="0"/>
              <w:right w:val="nil"/>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rPr>
              <w:t>1257</w:t>
            </w:r>
          </w:p>
        </w:tc>
        <w:tc>
          <w:tcPr>
            <w:tcW w:w="1025" w:type="dxa"/>
            <w:tcBorders>
              <w:top w:val="nil"/>
              <w:left w:val="nil"/>
              <w:bottom w:val="double" w:color="000000" w:sz="8" w:space="0"/>
              <w:right w:val="nil"/>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rPr>
              <w:t>986</w:t>
            </w:r>
          </w:p>
        </w:tc>
        <w:tc>
          <w:tcPr>
            <w:tcW w:w="774" w:type="dxa"/>
            <w:tcBorders>
              <w:top w:val="nil"/>
              <w:left w:val="nil"/>
              <w:bottom w:val="double" w:color="000000" w:sz="8" w:space="0"/>
              <w:right w:val="nil"/>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rPr>
              <w:t>13</w:t>
            </w:r>
          </w:p>
        </w:tc>
        <w:tc>
          <w:tcPr>
            <w:tcW w:w="1010" w:type="dxa"/>
            <w:tcBorders>
              <w:top w:val="nil"/>
              <w:left w:val="nil"/>
              <w:bottom w:val="double" w:color="000000" w:sz="8" w:space="0"/>
              <w:right w:val="nil"/>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rPr>
              <w:t>5813</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注：以上统计人数不包含社区救助对象。</w:t>
      </w:r>
    </w:p>
    <w:p>
      <w:pPr>
        <w:pStyle w:val="2"/>
        <w:outlineLvl w:val="9"/>
        <w:rPr>
          <w:rFonts w:hint="eastAsia"/>
          <w:color w:val="auto"/>
          <w:u w:val="none"/>
          <w:lang w:val="en-US" w:eastAsia="zh-CN"/>
        </w:rPr>
      </w:pPr>
    </w:p>
    <w:p>
      <w:pPr>
        <w:pStyle w:val="4"/>
        <w:keepNext w:val="0"/>
        <w:keepLines w:val="0"/>
        <w:pageBreakBefore w:val="0"/>
        <w:widowControl w:val="0"/>
        <w:kinsoku/>
        <w:wordWrap/>
        <w:overflowPunct/>
        <w:topLinePunct w:val="0"/>
        <w:autoSpaceDE w:val="0"/>
        <w:autoSpaceDN w:val="0"/>
        <w:bidi w:val="0"/>
        <w:adjustRightInd w:val="0"/>
        <w:snapToGrid/>
        <w:ind w:firstLine="643" w:firstLineChars="200"/>
        <w:textAlignment w:val="auto"/>
        <w:rPr>
          <w:rFonts w:hint="eastAsia" w:ascii="方正仿宋_GBK" w:hAnsi="方正仿宋_GBK" w:eastAsia="方正仿宋_GBK" w:cs="方正仿宋_GBK"/>
          <w:b/>
          <w:bCs w:val="0"/>
          <w:color w:val="auto"/>
          <w:sz w:val="32"/>
          <w:szCs w:val="32"/>
          <w:u w:val="none"/>
          <w:lang w:val="en-US" w:eastAsia="zh-CN"/>
        </w:rPr>
      </w:pPr>
      <w:bookmarkStart w:id="20" w:name="_Toc5592"/>
      <w:r>
        <w:rPr>
          <w:rFonts w:hint="eastAsia" w:ascii="方正仿宋_GBK" w:hAnsi="方正仿宋_GBK" w:eastAsia="方正仿宋_GBK" w:cs="方正仿宋_GBK"/>
          <w:b/>
          <w:bCs w:val="0"/>
          <w:color w:val="auto"/>
          <w:sz w:val="32"/>
          <w:szCs w:val="32"/>
          <w:u w:val="none"/>
          <w:lang w:val="en-US" w:eastAsia="zh-CN"/>
        </w:rPr>
        <w:t>（二）极大发挥社会组织灵活性，倾心对困难群众</w:t>
      </w:r>
      <w:bookmarkEnd w:id="20"/>
      <w:r>
        <w:rPr>
          <w:rFonts w:hint="eastAsia" w:ascii="方正仿宋_GBK" w:hAnsi="方正仿宋_GBK" w:eastAsia="方正仿宋_GBK" w:cs="方正仿宋_GBK"/>
          <w:b/>
          <w:bCs w:val="0"/>
          <w:color w:val="auto"/>
          <w:sz w:val="32"/>
          <w:szCs w:val="32"/>
          <w:u w:val="none"/>
          <w:lang w:val="en-US" w:eastAsia="zh-CN"/>
        </w:rPr>
        <w:t>实施急难救助。</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100" w:right="0" w:rightChars="0" w:firstLine="640" w:firstLineChars="200"/>
        <w:jc w:val="both"/>
        <w:textAlignment w:val="auto"/>
        <w:rPr>
          <w:rFonts w:hint="default" w:ascii="Times New Roman" w:hAnsi="Times New Roman" w:eastAsia="方正仿宋_GBK" w:cs="Times New Roman"/>
          <w:b w:val="0"/>
          <w:bCs/>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由于社会救助体系存在一定的标准，不满足相应标准的困难</w:t>
      </w:r>
      <w:r>
        <w:rPr>
          <w:rFonts w:hint="default" w:ascii="Times New Roman" w:hAnsi="Times New Roman" w:eastAsia="方正仿宋_GBK" w:cs="Times New Roman"/>
          <w:b w:val="0"/>
          <w:bCs/>
          <w:color w:val="auto"/>
          <w:sz w:val="32"/>
          <w:szCs w:val="32"/>
          <w:u w:val="none"/>
          <w:lang w:val="en-US" w:eastAsia="zh-CN"/>
        </w:rPr>
        <w:t>群众往往被排斥在救助体系之外，特别是一些边缘群体，常常因为突发性灾害、疾病等原因，陷入临时性或长期性困境，但又不符合相关救助政策，成为不满足民政救助条件的特殊困难群众。基金会借助自身社会组织的灵活性，对这部分群体积极开展急难评估，主动上门施救，有效化解了社会矛盾，进一步织密织牢了救助安全网。</w:t>
      </w:r>
      <w:bookmarkStart w:id="21" w:name="_Toc4393"/>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2"/>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基金会的临时救助突破以最低生活保障获得者身份作为享受临时救助资格的局限，而是面向有实际困难人员，增强了社会救助政策的兜底弹性。基金会的救助对象纳入了低保之外的低保边缘家庭、临时遭遇事故与灾难的特别困难群众以及贫困人群。他们往往在遭遇突发事件，意外伤害，重大疾病时，或其他特殊原因而陷入生活困境，但社会救助制度暂时无法覆盖，或者在政府专项救助帮扶后，基本生活仍有严重困难。</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表2.1中，2011-2020年，基金会救助贫困户1257人/户，占比21.6%，救助金额共3332.29万元，占比23.7%；困难人群956人/户，占比16.4%，救助金额共2630.2万元，占比18.7%；还有藏族同胞等其他人群</w:t>
      </w:r>
      <w:r>
        <w:rPr>
          <w:rFonts w:hint="eastAsia"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lang w:val="en-US" w:eastAsia="zh-CN"/>
        </w:rPr>
        <w:t>以上，政府基本保障之外人群共占比38%，救助金额占比42.4%。急难救助面向有实际需求的绝对和相对贫困群体，有效避免了低保与基金会救助的简单叠加，消除由救助叠加引发的“悬崖效应”，增强了兜底保障弹性。</w:t>
      </w:r>
    </w:p>
    <w:p>
      <w:pPr>
        <w:pStyle w:val="2"/>
        <w:ind w:firstLine="640" w:firstLineChars="200"/>
        <w:rPr>
          <w:rFonts w:hint="default" w:ascii="Times New Roman" w:hAnsi="Times New Roman" w:eastAsia="方正仿宋_GBK" w:cs="Times New Roman"/>
          <w:b w:val="0"/>
          <w:color w:val="auto"/>
          <w:kern w:val="2"/>
          <w:sz w:val="32"/>
          <w:szCs w:val="32"/>
          <w:u w:val="none"/>
          <w:lang w:val="en-US" w:eastAsia="zh-CN" w:bidi="ar-SA"/>
        </w:rPr>
      </w:pPr>
      <w:bookmarkStart w:id="22" w:name="_Toc16595"/>
      <w:r>
        <w:rPr>
          <w:rFonts w:hint="default" w:ascii="Times New Roman" w:hAnsi="Times New Roman" w:eastAsia="方正仿宋_GBK" w:cs="Times New Roman"/>
          <w:b w:val="0"/>
          <w:color w:val="auto"/>
          <w:kern w:val="2"/>
          <w:sz w:val="32"/>
          <w:szCs w:val="32"/>
          <w:u w:val="none"/>
          <w:lang w:val="en-US" w:eastAsia="zh-CN" w:bidi="ar-SA"/>
        </w:rPr>
        <w:t>在疾病和失业等风险加剧的背景下，基金会突破低保身份限制的救助举措，有助于解决以最低生活保障制度为救助入口所造成的悬崖效应。“悬崖效应”指救助在制度设计上医疗、教育、住房等专项救助瞄准低保对象，导致较为突出的福利排斥现象，大多数低保对象在领取低保金的基础上还可以享受较多的其他救助，使得低保对象的收入水平远远高于低保边缘群体。而非低保对象很难获得专项救助。由此直接导致了社会救助的“悬崖效应”。低保制度“含金量”不断提高，不仅造成低保对象不愿意退出，也使得低保边缘群体希望获得“低保身份”享受各种专项救助，长此以往，势必影响我国社会救助体系的公平性和实施效率</w:t>
      </w:r>
      <w:r>
        <w:rPr>
          <w:rFonts w:hint="default" w:ascii="Times New Roman" w:hAnsi="Times New Roman" w:eastAsia="方正仿宋_GBK" w:cs="Times New Roman"/>
          <w:b w:val="0"/>
          <w:color w:val="auto"/>
          <w:kern w:val="2"/>
          <w:sz w:val="32"/>
          <w:szCs w:val="32"/>
          <w:u w:val="none"/>
          <w:lang w:val="en-US" w:eastAsia="zh-CN" w:bidi="ar-SA"/>
        </w:rPr>
        <w:footnoteReference w:id="0"/>
      </w:r>
      <w:r>
        <w:rPr>
          <w:rFonts w:hint="default" w:ascii="Times New Roman" w:hAnsi="Times New Roman" w:eastAsia="方正仿宋_GBK" w:cs="Times New Roman"/>
          <w:b w:val="0"/>
          <w:color w:val="auto"/>
          <w:kern w:val="2"/>
          <w:sz w:val="32"/>
          <w:szCs w:val="32"/>
          <w:u w:val="none"/>
          <w:lang w:val="en-US" w:eastAsia="zh-CN" w:bidi="ar-SA"/>
        </w:rPr>
        <w:t>。</w:t>
      </w:r>
      <w:bookmarkEnd w:id="22"/>
    </w:p>
    <w:p>
      <w:pPr>
        <w:pStyle w:val="3"/>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i w:val="0"/>
          <w:iCs/>
          <w:color w:val="auto"/>
          <w:u w:val="none"/>
          <w:lang w:val="en-US" w:eastAsia="zh-CN"/>
        </w:rPr>
      </w:pPr>
      <w:bookmarkStart w:id="23" w:name="_Toc10303"/>
      <w:r>
        <w:rPr>
          <w:rFonts w:hint="eastAsia"/>
          <w:i w:val="0"/>
          <w:iCs/>
          <w:color w:val="auto"/>
          <w:u w:val="none"/>
          <w:lang w:val="en-US" w:eastAsia="zh-CN"/>
        </w:rPr>
        <w:t>二、锐意</w:t>
      </w:r>
      <w:r>
        <w:rPr>
          <w:rFonts w:hint="eastAsia"/>
          <w:i w:val="0"/>
          <w:iCs/>
          <w:color w:val="auto"/>
          <w:highlight w:val="none"/>
          <w:u w:val="none"/>
          <w:lang w:val="en-US" w:eastAsia="zh-CN"/>
        </w:rPr>
        <w:t>发展</w:t>
      </w:r>
      <w:r>
        <w:rPr>
          <w:rFonts w:hint="eastAsia"/>
          <w:i w:val="0"/>
          <w:iCs/>
          <w:color w:val="auto"/>
          <w:u w:val="none"/>
          <w:lang w:val="en-US" w:eastAsia="zh-CN"/>
        </w:rPr>
        <w:t>创新</w:t>
      </w:r>
      <w:bookmarkEnd w:id="21"/>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基金会的成立是市委、市政府坚持以人民为中心，完善救助方式，保障基本民生，强化特殊困难群众急难兜底保障的创新之举。作为全国第一家省级社会救助专项基金会，没有先例可循，基金会坚持党的领导，以法律为准绳，以民政工作为指引，积极应对社会救助需求多元化、外部环境复杂化的情况，走出了一条探索、创新及发展的道路。</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2015年以来，面对社会经济发展环境与救助需求的变化，基金会在破除普惠制束缚，创新救助方式，推进兜底保障，实施差异救助，增强救助效果等方面积极开展创新发展转型升级的实践。</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u w:val="none"/>
          <w:lang w:val="en-US" w:eastAsia="zh-CN" w:bidi="ar-SA"/>
        </w:rPr>
      </w:pPr>
      <w:r>
        <w:rPr>
          <w:rFonts w:hint="default" w:ascii="Times New Roman" w:hAnsi="Times New Roman" w:eastAsia="方正仿宋_GBK" w:cs="Times New Roman"/>
          <w:b w:val="0"/>
          <w:color w:val="auto"/>
          <w:kern w:val="2"/>
          <w:sz w:val="32"/>
          <w:szCs w:val="32"/>
          <w:u w:val="none"/>
          <w:lang w:val="en-US" w:eastAsia="zh-CN" w:bidi="ar-SA"/>
        </w:rPr>
        <w:t>基金会坚决按照习总书记“两不愁三保障”的重要讲话精神，在市民政局的坚强领导下，紧紧围绕“三保障”，适时调整救助内容，积极开展扶困就医、扶贫安居和扶智助学活动，为重庆市如期全面打赢脱贫攻坚战、全面建成小康社会作出新的贡献。</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default" w:ascii="Times New Roman" w:hAnsi="Times New Roman" w:eastAsia="方正仿宋_GBK" w:cs="Times New Roman"/>
          <w:color w:val="auto"/>
          <w:u w:val="none"/>
          <w:lang w:val="en-US" w:eastAsia="zh-CN"/>
        </w:rPr>
      </w:pPr>
      <w:r>
        <w:rPr>
          <w:rFonts w:hint="default" w:ascii="Times New Roman" w:hAnsi="Times New Roman" w:eastAsia="方正仿宋_GBK" w:cs="Times New Roman"/>
          <w:color w:val="auto"/>
          <w:sz w:val="32"/>
          <w:szCs w:val="32"/>
          <w:u w:val="none"/>
          <w:lang w:val="en-US" w:eastAsia="zh-CN"/>
        </w:rPr>
        <w:t>按照市民政局唐步新局长的指示和谭书凯副局长的要求，基金会在二届九次理事会上提出了创新发展转型升级的工作思路，重点在救助模式与社会参与方面进行积极探索。在救助模式的创新中，开展了南岸区社区直接救助试点工作。在社会募集方面，打造了基金会的众筹平台，拓宽公募渠道，更加广泛汇集社会资源。</w:t>
      </w:r>
    </w:p>
    <w:p>
      <w:pPr>
        <w:pStyle w:val="4"/>
        <w:keepNext w:val="0"/>
        <w:keepLines w:val="0"/>
        <w:pageBreakBefore w:val="0"/>
        <w:widowControl w:val="0"/>
        <w:kinsoku/>
        <w:wordWrap/>
        <w:overflowPunct/>
        <w:topLinePunct w:val="0"/>
        <w:autoSpaceDE w:val="0"/>
        <w:autoSpaceDN w:val="0"/>
        <w:bidi w:val="0"/>
        <w:adjustRightInd w:val="0"/>
        <w:snapToGrid/>
        <w:ind w:firstLine="643" w:firstLineChars="200"/>
        <w:textAlignment w:val="auto"/>
        <w:rPr>
          <w:rFonts w:hint="eastAsia" w:ascii="方正仿宋_GBK" w:hAnsi="方正仿宋_GBK" w:eastAsia="方正仿宋_GBK" w:cs="方正仿宋_GBK"/>
          <w:b/>
          <w:bCs w:val="0"/>
          <w:color w:val="auto"/>
          <w:sz w:val="32"/>
          <w:szCs w:val="32"/>
          <w:u w:val="none"/>
          <w:lang w:val="en-US" w:eastAsia="zh-CN"/>
        </w:rPr>
      </w:pPr>
      <w:bookmarkStart w:id="24" w:name="_Toc22304"/>
      <w:bookmarkStart w:id="25" w:name="_Toc22546"/>
      <w:r>
        <w:rPr>
          <w:rFonts w:hint="eastAsia" w:ascii="方正仿宋_GBK" w:hAnsi="方正仿宋_GBK" w:eastAsia="方正仿宋_GBK" w:cs="方正仿宋_GBK"/>
          <w:b/>
          <w:bCs w:val="0"/>
          <w:color w:val="auto"/>
          <w:sz w:val="32"/>
          <w:szCs w:val="32"/>
          <w:u w:val="none"/>
          <w:lang w:val="en-US" w:eastAsia="zh-CN"/>
        </w:rPr>
        <w:t>（一）“医、住、学”三保障，助力脱贫攻坚</w:t>
      </w:r>
      <w:bookmarkEnd w:id="24"/>
      <w:bookmarkEnd w:id="25"/>
      <w:r>
        <w:rPr>
          <w:rFonts w:hint="eastAsia" w:ascii="方正仿宋_GBK" w:hAnsi="方正仿宋_GBK" w:eastAsia="方正仿宋_GBK" w:cs="方正仿宋_GBK"/>
          <w:b/>
          <w:bCs w:val="0"/>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2015年，在全市扶贫攻坚攻集体总动员关键节点，基金会在市民政局的坚强领导下，紧紧围绕“三保障”，适时调整救助内容，在原有医疗救助、住房救助内容上，拓展急难救助范围，增加了教育救助。积极开展扶困就医、扶贫安居和扶智助学活动，衔接扶贫开发，助力脱贫攻坚。同时，基金会一直紧盯贫困农村，探索出一条从“输血式扶贫”到“造血式扶贫”的乡村可持续发展之路，为脱贫攻坚事业做出一定的贡献。</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表2.3所示，在三项救助行动中，扶困就医行动共救助732人/户，支出金额855.5万元，占比85.3%。其中，重大疾病的救助人数572人人，重大伤（灾）害救助人数159人。还有一位救助对象是至亲多人病亡。救助者年龄最小1岁，最大84岁。其中小于等于10岁有112人，大于等于60岁有332人。救助对象主要集中于农村，重点是农村低保户与贫困户。</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2020年，数助人数与金额略有下降。扶困就医救助总人数不是最多，但救助总金额与人均救助金额都最高。两年共支出1993.80万元，人均2.72万元。</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2015-2019年，扶贫安居救助人数与救助金额迅速增长，在2019年达到高峰。2019年来，基金会紧紧围绕扶贫攻坚，着眼农村困难群众住房安全保障，积极在城口、巫溪、酉阳等14个深度贫困区县中对农村低保、建档立卡贫困户、分散供养特困人员以及重度贫困残疾人家庭四类对象开展住房救助。2019-2020年共救助384人/户，支出金额595.26万元。随看扶贫工作阶段性胜利，2020年救助人数与金额规模缩减。</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2015年开始，基金会本着“扶贫先扶智，扶智先助学”的理念，全面推进扶智助学项目。扶智助学虽然实施的时间较短，但人数最多，两年内救助了1049人，并且2020年人数增长强势，支出金额914.29万元，人均救助金额0.87万元。</w:t>
      </w:r>
    </w:p>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p>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表2.3  2019-2020年三类救助领域救助人数及金额年度变化</w:t>
      </w:r>
    </w:p>
    <w:p>
      <w:pPr>
        <w:keepNext w:val="0"/>
        <w:keepLines w:val="0"/>
        <w:pageBreakBefore w:val="0"/>
        <w:kinsoku/>
        <w:wordWrap/>
        <w:overflowPunct/>
        <w:topLinePunct w:val="0"/>
        <w:autoSpaceDE/>
        <w:autoSpaceDN/>
        <w:bidi w:val="0"/>
        <w:adjustRightInd/>
        <w:snapToGrid/>
        <w:spacing w:line="360" w:lineRule="auto"/>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lang w:val="en-US" w:eastAsia="zh-CN"/>
        </w:rPr>
        <w:t xml:space="preserve">                                      人/户， 万元，%</w:t>
      </w:r>
    </w:p>
    <w:tbl>
      <w:tblPr>
        <w:tblStyle w:val="21"/>
        <w:tblW w:w="834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19"/>
        <w:gridCol w:w="805"/>
        <w:gridCol w:w="1008"/>
        <w:gridCol w:w="1008"/>
        <w:gridCol w:w="1010"/>
        <w:gridCol w:w="1010"/>
        <w:gridCol w:w="1010"/>
        <w:gridCol w:w="12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21" w:hRule="atLeast"/>
          <w:tblHeader/>
        </w:trPr>
        <w:tc>
          <w:tcPr>
            <w:tcW w:w="1219" w:type="dxa"/>
            <w:vMerge w:val="restart"/>
            <w:tcBorders>
              <w:top w:val="double" w:color="000000" w:sz="8" w:space="0"/>
              <w:left w:val="nil"/>
              <w:right w:val="nil"/>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rPr>
            </w:pPr>
          </w:p>
        </w:tc>
        <w:tc>
          <w:tcPr>
            <w:tcW w:w="1813" w:type="dxa"/>
            <w:gridSpan w:val="2"/>
            <w:tcBorders>
              <w:top w:val="double" w:color="000000" w:sz="8" w:space="0"/>
              <w:left w:val="nil"/>
              <w:bottom w:val="single" w:color="000000" w:sz="16" w:space="0"/>
              <w:right w:val="nil"/>
              <w:tl2br w:val="nil"/>
              <w:tr2bl w:val="nil"/>
            </w:tcBorders>
            <w:shd w:val="clear" w:color="auto" w:fill="FFFFFF"/>
            <w:vAlign w:val="bottom"/>
          </w:tcPr>
          <w:p>
            <w:pPr>
              <w:keepNext w:val="0"/>
              <w:keepLines w:val="0"/>
              <w:pageBreakBefore w:val="0"/>
              <w:kinsoku/>
              <w:wordWrap/>
              <w:overflowPunct/>
              <w:topLinePunct w:val="0"/>
              <w:autoSpaceDE/>
              <w:autoSpaceDN/>
              <w:bidi w:val="0"/>
              <w:adjustRightInd/>
              <w:snapToGrid/>
              <w:spacing w:line="360" w:lineRule="auto"/>
              <w:ind w:left="60" w:right="60"/>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2019</w:t>
            </w:r>
          </w:p>
        </w:tc>
        <w:tc>
          <w:tcPr>
            <w:tcW w:w="2018" w:type="dxa"/>
            <w:gridSpan w:val="2"/>
            <w:tcBorders>
              <w:top w:val="double" w:color="000000" w:sz="8" w:space="0"/>
              <w:left w:val="nil"/>
              <w:bottom w:val="single" w:color="000000" w:sz="16" w:space="0"/>
              <w:right w:val="nil"/>
              <w:tl2br w:val="nil"/>
              <w:tr2bl w:val="nil"/>
            </w:tcBorders>
            <w:shd w:val="clear" w:color="auto" w:fill="FFFFFF"/>
            <w:vAlign w:val="bottom"/>
          </w:tcPr>
          <w:p>
            <w:pPr>
              <w:keepNext w:val="0"/>
              <w:keepLines w:val="0"/>
              <w:pageBreakBefore w:val="0"/>
              <w:kinsoku/>
              <w:wordWrap/>
              <w:overflowPunct/>
              <w:topLinePunct w:val="0"/>
              <w:autoSpaceDE/>
              <w:autoSpaceDN/>
              <w:bidi w:val="0"/>
              <w:adjustRightInd/>
              <w:snapToGrid/>
              <w:spacing w:line="360" w:lineRule="auto"/>
              <w:ind w:left="60" w:right="60"/>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2020</w:t>
            </w:r>
          </w:p>
        </w:tc>
        <w:tc>
          <w:tcPr>
            <w:tcW w:w="3297" w:type="dxa"/>
            <w:gridSpan w:val="3"/>
            <w:tcBorders>
              <w:top w:val="double" w:color="000000" w:sz="8" w:space="0"/>
              <w:left w:val="nil"/>
              <w:bottom w:val="single" w:color="000000" w:sz="16" w:space="0"/>
              <w:right w:val="nil"/>
              <w:tl2br w:val="nil"/>
              <w:tr2bl w:val="nil"/>
            </w:tcBorders>
            <w:shd w:val="clear" w:color="auto" w:fill="FFFFFF"/>
            <w:vAlign w:val="bottom"/>
          </w:tcPr>
          <w:p>
            <w:pPr>
              <w:keepNext w:val="0"/>
              <w:keepLines w:val="0"/>
              <w:pageBreakBefore w:val="0"/>
              <w:kinsoku/>
              <w:wordWrap/>
              <w:overflowPunct/>
              <w:topLinePunct w:val="0"/>
              <w:autoSpaceDE/>
              <w:autoSpaceDN/>
              <w:bidi w:val="0"/>
              <w:adjustRightInd/>
              <w:snapToGrid/>
              <w:spacing w:line="360" w:lineRule="auto"/>
              <w:ind w:left="60" w:right="60"/>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合计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blHeader/>
        </w:trPr>
        <w:tc>
          <w:tcPr>
            <w:tcW w:w="1219" w:type="dxa"/>
            <w:vMerge w:val="continue"/>
            <w:tcBorders>
              <w:left w:val="nil"/>
              <w:bottom w:val="single" w:color="000000" w:sz="16" w:space="0"/>
              <w:right w:val="nil"/>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rPr>
            </w:pPr>
          </w:p>
        </w:tc>
        <w:tc>
          <w:tcPr>
            <w:tcW w:w="805" w:type="dxa"/>
            <w:tcBorders>
              <w:top w:val="double" w:color="000000" w:sz="8" w:space="0"/>
              <w:left w:val="nil"/>
              <w:bottom w:val="single" w:color="000000" w:sz="16" w:space="0"/>
              <w:right w:val="nil"/>
              <w:tl2br w:val="nil"/>
              <w:tr2bl w:val="nil"/>
            </w:tcBorders>
            <w:shd w:val="clear" w:color="auto" w:fill="FFFFFF"/>
            <w:vAlign w:val="bottom"/>
          </w:tcPr>
          <w:p>
            <w:pPr>
              <w:keepNext w:val="0"/>
              <w:keepLines w:val="0"/>
              <w:pageBreakBefore w:val="0"/>
              <w:kinsoku/>
              <w:wordWrap/>
              <w:overflowPunct/>
              <w:topLinePunct w:val="0"/>
              <w:autoSpaceDE/>
              <w:autoSpaceDN/>
              <w:bidi w:val="0"/>
              <w:adjustRightInd/>
              <w:snapToGrid/>
              <w:spacing w:line="360" w:lineRule="auto"/>
              <w:ind w:left="60" w:right="60"/>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人数</w:t>
            </w:r>
          </w:p>
        </w:tc>
        <w:tc>
          <w:tcPr>
            <w:tcW w:w="1008" w:type="dxa"/>
            <w:tcBorders>
              <w:top w:val="double" w:color="000000" w:sz="8" w:space="0"/>
              <w:left w:val="nil"/>
              <w:bottom w:val="single" w:color="000000" w:sz="16" w:space="0"/>
              <w:right w:val="nil"/>
              <w:tl2br w:val="nil"/>
              <w:tr2bl w:val="nil"/>
            </w:tcBorders>
            <w:shd w:val="clear" w:color="auto" w:fill="FFFFFF"/>
            <w:vAlign w:val="bottom"/>
          </w:tcPr>
          <w:p>
            <w:pPr>
              <w:keepNext w:val="0"/>
              <w:keepLines w:val="0"/>
              <w:pageBreakBefore w:val="0"/>
              <w:kinsoku/>
              <w:wordWrap/>
              <w:overflowPunct/>
              <w:topLinePunct w:val="0"/>
              <w:autoSpaceDE/>
              <w:autoSpaceDN/>
              <w:bidi w:val="0"/>
              <w:adjustRightInd/>
              <w:snapToGrid/>
              <w:spacing w:line="360" w:lineRule="auto"/>
              <w:ind w:left="60" w:right="60"/>
              <w:jc w:val="center"/>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lang w:eastAsia="zh-CN"/>
              </w:rPr>
              <w:t>金额</w:t>
            </w:r>
          </w:p>
        </w:tc>
        <w:tc>
          <w:tcPr>
            <w:tcW w:w="1008" w:type="dxa"/>
            <w:tcBorders>
              <w:top w:val="double" w:color="000000" w:sz="8" w:space="0"/>
              <w:left w:val="nil"/>
              <w:bottom w:val="single" w:color="000000" w:sz="16" w:space="0"/>
              <w:right w:val="nil"/>
              <w:tl2br w:val="nil"/>
              <w:tr2bl w:val="nil"/>
            </w:tcBorders>
            <w:shd w:val="clear" w:color="auto" w:fill="FFFFFF"/>
            <w:vAlign w:val="bottom"/>
          </w:tcPr>
          <w:p>
            <w:pPr>
              <w:keepNext w:val="0"/>
              <w:keepLines w:val="0"/>
              <w:pageBreakBefore w:val="0"/>
              <w:kinsoku/>
              <w:wordWrap/>
              <w:overflowPunct/>
              <w:topLinePunct w:val="0"/>
              <w:autoSpaceDE/>
              <w:autoSpaceDN/>
              <w:bidi w:val="0"/>
              <w:adjustRightInd/>
              <w:snapToGrid/>
              <w:spacing w:line="360" w:lineRule="auto"/>
              <w:ind w:left="60" w:leftChars="0" w:right="60" w:rightChars="0"/>
              <w:jc w:val="center"/>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lang w:val="en-US" w:eastAsia="zh-CN"/>
              </w:rPr>
              <w:t>人数</w:t>
            </w:r>
          </w:p>
        </w:tc>
        <w:tc>
          <w:tcPr>
            <w:tcW w:w="1010" w:type="dxa"/>
            <w:tcBorders>
              <w:top w:val="double" w:color="000000" w:sz="8" w:space="0"/>
              <w:left w:val="nil"/>
              <w:bottom w:val="single" w:color="000000" w:sz="16" w:space="0"/>
              <w:right w:val="nil"/>
              <w:tl2br w:val="nil"/>
              <w:tr2bl w:val="nil"/>
            </w:tcBorders>
            <w:shd w:val="clear" w:color="auto" w:fill="FFFFFF"/>
            <w:vAlign w:val="bottom"/>
          </w:tcPr>
          <w:p>
            <w:pPr>
              <w:keepNext w:val="0"/>
              <w:keepLines w:val="0"/>
              <w:pageBreakBefore w:val="0"/>
              <w:kinsoku/>
              <w:wordWrap/>
              <w:overflowPunct/>
              <w:topLinePunct w:val="0"/>
              <w:autoSpaceDE/>
              <w:autoSpaceDN/>
              <w:bidi w:val="0"/>
              <w:adjustRightInd/>
              <w:snapToGrid/>
              <w:spacing w:line="360" w:lineRule="auto"/>
              <w:ind w:left="60" w:leftChars="0" w:right="60" w:rightChars="0"/>
              <w:jc w:val="center"/>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lang w:eastAsia="zh-CN"/>
              </w:rPr>
              <w:t>金额</w:t>
            </w:r>
          </w:p>
        </w:tc>
        <w:tc>
          <w:tcPr>
            <w:tcW w:w="1010" w:type="dxa"/>
            <w:tcBorders>
              <w:top w:val="double" w:color="000000" w:sz="8" w:space="0"/>
              <w:left w:val="nil"/>
              <w:bottom w:val="single" w:color="000000" w:sz="16" w:space="0"/>
              <w:right w:val="nil"/>
              <w:tl2br w:val="nil"/>
              <w:tr2bl w:val="nil"/>
            </w:tcBorders>
            <w:shd w:val="clear" w:color="auto" w:fill="FFFFFF"/>
            <w:vAlign w:val="bottom"/>
          </w:tcPr>
          <w:p>
            <w:pPr>
              <w:keepNext w:val="0"/>
              <w:keepLines w:val="0"/>
              <w:pageBreakBefore w:val="0"/>
              <w:kinsoku/>
              <w:wordWrap/>
              <w:overflowPunct/>
              <w:topLinePunct w:val="0"/>
              <w:autoSpaceDE/>
              <w:autoSpaceDN/>
              <w:bidi w:val="0"/>
              <w:adjustRightInd/>
              <w:snapToGrid/>
              <w:spacing w:line="360" w:lineRule="auto"/>
              <w:ind w:left="60" w:leftChars="0" w:right="60" w:rightChars="0"/>
              <w:jc w:val="center"/>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lang w:val="en-US" w:eastAsia="zh-CN"/>
              </w:rPr>
              <w:t>人数</w:t>
            </w:r>
          </w:p>
        </w:tc>
        <w:tc>
          <w:tcPr>
            <w:tcW w:w="1010" w:type="dxa"/>
            <w:tcBorders>
              <w:top w:val="double" w:color="000000" w:sz="8" w:space="0"/>
              <w:left w:val="nil"/>
              <w:bottom w:val="single" w:color="000000" w:sz="16" w:space="0"/>
              <w:right w:val="nil"/>
              <w:tl2br w:val="nil"/>
              <w:tr2bl w:val="nil"/>
            </w:tcBorders>
            <w:shd w:val="clear" w:color="auto" w:fill="FFFFFF"/>
            <w:vAlign w:val="bottom"/>
          </w:tcPr>
          <w:p>
            <w:pPr>
              <w:keepNext w:val="0"/>
              <w:keepLines w:val="0"/>
              <w:pageBreakBefore w:val="0"/>
              <w:kinsoku/>
              <w:wordWrap/>
              <w:overflowPunct/>
              <w:topLinePunct w:val="0"/>
              <w:autoSpaceDE/>
              <w:autoSpaceDN/>
              <w:bidi w:val="0"/>
              <w:adjustRightInd/>
              <w:snapToGrid/>
              <w:spacing w:line="360" w:lineRule="auto"/>
              <w:ind w:left="60" w:leftChars="0" w:right="60" w:rightChars="0"/>
              <w:jc w:val="center"/>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lang w:eastAsia="zh-CN"/>
              </w:rPr>
              <w:t>金额</w:t>
            </w:r>
          </w:p>
        </w:tc>
        <w:tc>
          <w:tcPr>
            <w:tcW w:w="1277" w:type="dxa"/>
            <w:tcBorders>
              <w:top w:val="double" w:color="000000" w:sz="8" w:space="0"/>
              <w:left w:val="nil"/>
              <w:bottom w:val="single" w:color="000000" w:sz="16" w:space="0"/>
              <w:right w:val="nil"/>
              <w:tl2br w:val="nil"/>
              <w:tr2bl w:val="nil"/>
            </w:tcBorders>
            <w:shd w:val="clear" w:color="auto" w:fill="FFFFFF"/>
            <w:vAlign w:val="bottom"/>
          </w:tcPr>
          <w:p>
            <w:pPr>
              <w:keepNext w:val="0"/>
              <w:keepLines w:val="0"/>
              <w:pageBreakBefore w:val="0"/>
              <w:kinsoku/>
              <w:wordWrap/>
              <w:overflowPunct/>
              <w:topLinePunct w:val="0"/>
              <w:autoSpaceDE/>
              <w:autoSpaceDN/>
              <w:bidi w:val="0"/>
              <w:adjustRightInd/>
              <w:snapToGrid/>
              <w:spacing w:line="360" w:lineRule="auto"/>
              <w:ind w:left="60" w:leftChars="0" w:right="60" w:rightChars="0"/>
              <w:jc w:val="center"/>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lang w:eastAsia="zh-CN"/>
              </w:rPr>
              <w:t>人均救助金额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blHeader/>
        </w:trPr>
        <w:tc>
          <w:tcPr>
            <w:tcW w:w="1219" w:type="dxa"/>
            <w:tcBorders>
              <w:top w:val="single" w:color="000000" w:sz="16" w:space="0"/>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right="6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扶困就医</w:t>
            </w:r>
          </w:p>
        </w:tc>
        <w:tc>
          <w:tcPr>
            <w:tcW w:w="805" w:type="dxa"/>
            <w:tcBorders>
              <w:top w:val="single" w:color="000000" w:sz="16" w:space="0"/>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right="6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393</w:t>
            </w:r>
          </w:p>
        </w:tc>
        <w:tc>
          <w:tcPr>
            <w:tcW w:w="1008" w:type="dxa"/>
            <w:tcBorders>
              <w:top w:val="single" w:color="000000" w:sz="16" w:space="0"/>
              <w:left w:val="nil"/>
              <w:bottom w:val="nil"/>
              <w:right w:val="nil"/>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rPr>
              <w:t>1138.3</w:t>
            </w:r>
          </w:p>
        </w:tc>
        <w:tc>
          <w:tcPr>
            <w:tcW w:w="1008" w:type="dxa"/>
            <w:tcBorders>
              <w:top w:val="single" w:color="000000" w:sz="16" w:space="0"/>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right="6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339</w:t>
            </w:r>
          </w:p>
        </w:tc>
        <w:tc>
          <w:tcPr>
            <w:tcW w:w="1010" w:type="dxa"/>
            <w:tcBorders>
              <w:top w:val="single" w:color="000000" w:sz="16" w:space="0"/>
              <w:left w:val="nil"/>
              <w:bottom w:val="nil"/>
              <w:right w:val="nil"/>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rPr>
              <w:t>855.5</w:t>
            </w:r>
          </w:p>
        </w:tc>
        <w:tc>
          <w:tcPr>
            <w:tcW w:w="1010" w:type="dxa"/>
            <w:tcBorders>
              <w:top w:val="single" w:color="000000" w:sz="16" w:space="0"/>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right="6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732</w:t>
            </w:r>
          </w:p>
        </w:tc>
        <w:tc>
          <w:tcPr>
            <w:tcW w:w="1010" w:type="dxa"/>
            <w:tcBorders>
              <w:top w:val="single" w:color="000000" w:sz="16" w:space="0"/>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right="6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1993.80</w:t>
            </w:r>
          </w:p>
        </w:tc>
        <w:tc>
          <w:tcPr>
            <w:tcW w:w="1277" w:type="dxa"/>
            <w:tcBorders>
              <w:top w:val="single" w:color="000000" w:sz="16" w:space="0"/>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right="6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2.72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blHeader/>
        </w:trPr>
        <w:tc>
          <w:tcPr>
            <w:tcW w:w="1219"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right="6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扶智助学</w:t>
            </w:r>
          </w:p>
        </w:tc>
        <w:tc>
          <w:tcPr>
            <w:tcW w:w="805"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right="6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130</w:t>
            </w:r>
          </w:p>
        </w:tc>
        <w:tc>
          <w:tcPr>
            <w:tcW w:w="1008" w:type="dxa"/>
            <w:tcBorders>
              <w:top w:val="nil"/>
              <w:left w:val="nil"/>
              <w:bottom w:val="nil"/>
              <w:right w:val="nil"/>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rPr>
              <w:t>110.76</w:t>
            </w:r>
          </w:p>
        </w:tc>
        <w:tc>
          <w:tcPr>
            <w:tcW w:w="1008"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right="6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919</w:t>
            </w:r>
          </w:p>
        </w:tc>
        <w:tc>
          <w:tcPr>
            <w:tcW w:w="1010" w:type="dxa"/>
            <w:tcBorders>
              <w:top w:val="nil"/>
              <w:left w:val="nil"/>
              <w:bottom w:val="nil"/>
              <w:right w:val="nil"/>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rPr>
              <w:t>803.53</w:t>
            </w:r>
          </w:p>
        </w:tc>
        <w:tc>
          <w:tcPr>
            <w:tcW w:w="1010"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right="6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1049</w:t>
            </w:r>
          </w:p>
        </w:tc>
        <w:tc>
          <w:tcPr>
            <w:tcW w:w="1010"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right="6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914.29</w:t>
            </w:r>
          </w:p>
        </w:tc>
        <w:tc>
          <w:tcPr>
            <w:tcW w:w="1277"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right="6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blHeader/>
        </w:trPr>
        <w:tc>
          <w:tcPr>
            <w:tcW w:w="1219"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right="6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扶</w:t>
            </w:r>
            <w:r>
              <w:rPr>
                <w:rFonts w:hint="eastAsia" w:ascii="仿宋_GB2312" w:hAnsi="仿宋_GB2312" w:eastAsia="仿宋_GB2312" w:cs="仿宋_GB2312"/>
                <w:color w:val="auto"/>
                <w:sz w:val="24"/>
                <w:szCs w:val="24"/>
                <w:u w:val="none"/>
                <w:lang w:eastAsia="zh-CN"/>
              </w:rPr>
              <w:t>贫</w:t>
            </w:r>
            <w:r>
              <w:rPr>
                <w:rFonts w:hint="eastAsia" w:ascii="仿宋_GB2312" w:hAnsi="仿宋_GB2312" w:eastAsia="仿宋_GB2312" w:cs="仿宋_GB2312"/>
                <w:color w:val="auto"/>
                <w:sz w:val="24"/>
                <w:szCs w:val="24"/>
                <w:u w:val="none"/>
              </w:rPr>
              <w:t>安居</w:t>
            </w:r>
          </w:p>
        </w:tc>
        <w:tc>
          <w:tcPr>
            <w:tcW w:w="805"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right="6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277</w:t>
            </w:r>
          </w:p>
        </w:tc>
        <w:tc>
          <w:tcPr>
            <w:tcW w:w="1008" w:type="dxa"/>
            <w:tcBorders>
              <w:top w:val="nil"/>
              <w:left w:val="nil"/>
              <w:bottom w:val="nil"/>
              <w:right w:val="nil"/>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rPr>
              <w:t>465.5</w:t>
            </w:r>
          </w:p>
        </w:tc>
        <w:tc>
          <w:tcPr>
            <w:tcW w:w="1008"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right="6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107</w:t>
            </w:r>
          </w:p>
        </w:tc>
        <w:tc>
          <w:tcPr>
            <w:tcW w:w="1010" w:type="dxa"/>
            <w:tcBorders>
              <w:top w:val="nil"/>
              <w:left w:val="nil"/>
              <w:bottom w:val="nil"/>
              <w:right w:val="nil"/>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rPr>
              <w:t>129.76</w:t>
            </w:r>
          </w:p>
        </w:tc>
        <w:tc>
          <w:tcPr>
            <w:tcW w:w="1010"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right="6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384</w:t>
            </w:r>
          </w:p>
        </w:tc>
        <w:tc>
          <w:tcPr>
            <w:tcW w:w="1010"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right="6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595.26</w:t>
            </w:r>
          </w:p>
        </w:tc>
        <w:tc>
          <w:tcPr>
            <w:tcW w:w="1277"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right="6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Pr>
        <w:tc>
          <w:tcPr>
            <w:tcW w:w="1219" w:type="dxa"/>
            <w:tcBorders>
              <w:top w:val="nil"/>
              <w:left w:val="nil"/>
              <w:bottom w:val="double" w:color="000000" w:sz="8" w:space="0"/>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right="6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合计</w:t>
            </w:r>
          </w:p>
        </w:tc>
        <w:tc>
          <w:tcPr>
            <w:tcW w:w="805" w:type="dxa"/>
            <w:tcBorders>
              <w:top w:val="nil"/>
              <w:left w:val="nil"/>
              <w:bottom w:val="double" w:color="000000" w:sz="8" w:space="0"/>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right="6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800</w:t>
            </w:r>
          </w:p>
        </w:tc>
        <w:tc>
          <w:tcPr>
            <w:tcW w:w="1008" w:type="dxa"/>
            <w:tcBorders>
              <w:top w:val="nil"/>
              <w:left w:val="nil"/>
              <w:bottom w:val="double" w:color="000000" w:sz="8" w:space="0"/>
              <w:right w:val="nil"/>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rPr>
              <w:t>1714.56</w:t>
            </w:r>
          </w:p>
        </w:tc>
        <w:tc>
          <w:tcPr>
            <w:tcW w:w="1008" w:type="dxa"/>
            <w:tcBorders>
              <w:top w:val="nil"/>
              <w:left w:val="nil"/>
              <w:bottom w:val="double" w:color="000000" w:sz="8" w:space="0"/>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right="6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1365</w:t>
            </w:r>
          </w:p>
        </w:tc>
        <w:tc>
          <w:tcPr>
            <w:tcW w:w="1010" w:type="dxa"/>
            <w:tcBorders>
              <w:top w:val="nil"/>
              <w:left w:val="nil"/>
              <w:bottom w:val="double" w:color="000000" w:sz="8" w:space="0"/>
              <w:right w:val="nil"/>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rPr>
              <w:t>1788.79</w:t>
            </w:r>
          </w:p>
        </w:tc>
        <w:tc>
          <w:tcPr>
            <w:tcW w:w="1010" w:type="dxa"/>
            <w:tcBorders>
              <w:top w:val="nil"/>
              <w:left w:val="nil"/>
              <w:bottom w:val="double" w:color="000000" w:sz="8" w:space="0"/>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right="6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2165</w:t>
            </w:r>
          </w:p>
        </w:tc>
        <w:tc>
          <w:tcPr>
            <w:tcW w:w="1010" w:type="dxa"/>
            <w:tcBorders>
              <w:top w:val="nil"/>
              <w:left w:val="nil"/>
              <w:bottom w:val="double" w:color="000000" w:sz="8" w:space="0"/>
              <w:right w:val="nil"/>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rPr>
              <w:t>3503.35</w:t>
            </w:r>
          </w:p>
        </w:tc>
        <w:tc>
          <w:tcPr>
            <w:tcW w:w="1277" w:type="dxa"/>
            <w:tcBorders>
              <w:top w:val="nil"/>
              <w:left w:val="nil"/>
              <w:bottom w:val="double" w:color="000000" w:sz="8" w:space="0"/>
              <w:right w:val="nil"/>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0"/>
                <w:sz w:val="24"/>
                <w:szCs w:val="24"/>
                <w:u w:val="none"/>
                <w:lang w:val="en-US" w:eastAsia="zh-CN"/>
              </w:rPr>
            </w:pPr>
            <w:r>
              <w:rPr>
                <w:rFonts w:hint="eastAsia" w:ascii="仿宋_GB2312" w:hAnsi="仿宋_GB2312" w:eastAsia="仿宋_GB2312" w:cs="仿宋_GB2312"/>
                <w:i w:val="0"/>
                <w:iCs w:val="0"/>
                <w:color w:val="auto"/>
                <w:kern w:val="0"/>
                <w:sz w:val="24"/>
                <w:szCs w:val="24"/>
                <w:u w:val="none"/>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0"/>
        <w:jc w:val="both"/>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据不完全统计，全市成规模的助学活动就有26项，大部分都集中在重点院校大学新生和优秀大学生，而基金会的助学行动也会关注真正贫困的在读的一般院校或高职类的学生。根据城乡低保家庭和新增扶贫建卡低保兜底家庭实际困难情况，实施差异化救助，以按学年直接打卡资助的方式，帮助困难学生顺利完成学业。</w:t>
      </w:r>
    </w:p>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表</w:t>
      </w:r>
      <w:r>
        <w:rPr>
          <w:rFonts w:hint="eastAsia" w:ascii="仿宋_GB2312" w:hAnsi="仿宋_GB2312" w:eastAsia="仿宋_GB2312" w:cs="仿宋_GB2312"/>
          <w:color w:val="auto"/>
          <w:sz w:val="24"/>
          <w:szCs w:val="24"/>
          <w:u w:val="none"/>
          <w:lang w:val="en-US" w:eastAsia="zh-CN"/>
        </w:rPr>
        <w:t>2</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val="en-US" w:eastAsia="zh-CN"/>
        </w:rPr>
        <w:t>4</w:t>
      </w:r>
      <w:r>
        <w:rPr>
          <w:rFonts w:hint="eastAsia" w:ascii="仿宋_GB2312" w:hAnsi="仿宋_GB2312" w:eastAsia="仿宋_GB2312" w:cs="仿宋_GB2312"/>
          <w:color w:val="auto"/>
          <w:sz w:val="24"/>
          <w:szCs w:val="24"/>
          <w:u w:val="none"/>
        </w:rPr>
        <w:t xml:space="preserve"> 扶困</w:t>
      </w:r>
      <w:r>
        <w:rPr>
          <w:rFonts w:hint="eastAsia" w:ascii="仿宋_GB2312" w:hAnsi="仿宋_GB2312" w:eastAsia="仿宋_GB2312" w:cs="仿宋_GB2312"/>
          <w:color w:val="auto"/>
          <w:sz w:val="24"/>
          <w:szCs w:val="24"/>
          <w:u w:val="none"/>
          <w:lang w:eastAsia="zh-CN"/>
        </w:rPr>
        <w:t>助学</w:t>
      </w:r>
      <w:r>
        <w:rPr>
          <w:rFonts w:hint="eastAsia" w:ascii="仿宋_GB2312" w:hAnsi="仿宋_GB2312" w:eastAsia="仿宋_GB2312" w:cs="仿宋_GB2312"/>
          <w:color w:val="auto"/>
          <w:sz w:val="24"/>
          <w:szCs w:val="24"/>
          <w:u w:val="none"/>
        </w:rPr>
        <w:t>对象分布</w:t>
      </w:r>
    </w:p>
    <w:tbl>
      <w:tblPr>
        <w:tblStyle w:val="21"/>
        <w:tblW w:w="5593"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88"/>
        <w:gridCol w:w="2525"/>
        <w:gridCol w:w="967"/>
        <w:gridCol w:w="121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blHeader/>
          <w:jc w:val="center"/>
        </w:trPr>
        <w:tc>
          <w:tcPr>
            <w:tcW w:w="888" w:type="dxa"/>
            <w:tcBorders>
              <w:top w:val="double" w:color="000000" w:sz="8" w:space="0"/>
              <w:left w:val="nil"/>
              <w:bottom w:val="single" w:color="auto" w:sz="4" w:space="0"/>
              <w:right w:val="nil"/>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rPr>
            </w:pPr>
          </w:p>
        </w:tc>
        <w:tc>
          <w:tcPr>
            <w:tcW w:w="2525" w:type="dxa"/>
            <w:tcBorders>
              <w:top w:val="double" w:color="000000" w:sz="8" w:space="0"/>
              <w:left w:val="nil"/>
              <w:bottom w:val="single" w:color="auto" w:sz="4" w:space="0"/>
              <w:right w:val="nil"/>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rPr>
            </w:pPr>
          </w:p>
        </w:tc>
        <w:tc>
          <w:tcPr>
            <w:tcW w:w="967" w:type="dxa"/>
            <w:tcBorders>
              <w:top w:val="double" w:color="000000" w:sz="8" w:space="0"/>
              <w:left w:val="nil"/>
              <w:bottom w:val="single" w:color="auto" w:sz="4" w:space="0"/>
              <w:right w:val="nil"/>
              <w:tl2br w:val="nil"/>
              <w:tr2bl w:val="nil"/>
            </w:tcBorders>
            <w:shd w:val="clear" w:color="auto" w:fill="FFFFFF"/>
            <w:vAlign w:val="bottom"/>
          </w:tcPr>
          <w:p>
            <w:pPr>
              <w:keepNext w:val="0"/>
              <w:keepLines w:val="0"/>
              <w:pageBreakBefore w:val="0"/>
              <w:kinsoku/>
              <w:wordWrap/>
              <w:overflowPunct/>
              <w:topLinePunct w:val="0"/>
              <w:autoSpaceDE/>
              <w:autoSpaceDN/>
              <w:bidi w:val="0"/>
              <w:adjustRightInd/>
              <w:snapToGrid/>
              <w:spacing w:line="360" w:lineRule="auto"/>
              <w:ind w:left="60" w:right="60"/>
              <w:jc w:val="center"/>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lang w:eastAsia="zh-CN"/>
              </w:rPr>
              <w:t>人</w:t>
            </w:r>
            <w:r>
              <w:rPr>
                <w:rFonts w:hint="eastAsia" w:ascii="仿宋_GB2312" w:hAnsi="仿宋_GB2312" w:eastAsia="仿宋_GB2312" w:cs="仿宋_GB2312"/>
                <w:color w:val="auto"/>
                <w:sz w:val="24"/>
                <w:szCs w:val="24"/>
                <w:u w:val="none"/>
                <w:lang w:val="en-US" w:eastAsia="zh-CN"/>
              </w:rPr>
              <w:t>/户</w:t>
            </w:r>
            <w:r>
              <w:rPr>
                <w:rFonts w:hint="eastAsia" w:ascii="仿宋_GB2312" w:hAnsi="仿宋_GB2312" w:eastAsia="仿宋_GB2312" w:cs="仿宋_GB2312"/>
                <w:color w:val="auto"/>
                <w:sz w:val="24"/>
                <w:szCs w:val="24"/>
                <w:u w:val="none"/>
                <w:lang w:eastAsia="zh-CN"/>
              </w:rPr>
              <w:t>数</w:t>
            </w:r>
          </w:p>
        </w:tc>
        <w:tc>
          <w:tcPr>
            <w:tcW w:w="1213" w:type="dxa"/>
            <w:tcBorders>
              <w:top w:val="double" w:color="000000" w:sz="8" w:space="0"/>
              <w:left w:val="nil"/>
              <w:bottom w:val="single" w:color="auto" w:sz="4" w:space="0"/>
              <w:right w:val="nil"/>
              <w:tl2br w:val="nil"/>
              <w:tr2bl w:val="nil"/>
            </w:tcBorders>
            <w:shd w:val="clear" w:color="auto" w:fill="FFFFFF"/>
            <w:vAlign w:val="bottom"/>
          </w:tcPr>
          <w:p>
            <w:pPr>
              <w:keepNext w:val="0"/>
              <w:keepLines w:val="0"/>
              <w:pageBreakBefore w:val="0"/>
              <w:kinsoku/>
              <w:wordWrap/>
              <w:overflowPunct/>
              <w:topLinePunct w:val="0"/>
              <w:autoSpaceDE/>
              <w:autoSpaceDN/>
              <w:bidi w:val="0"/>
              <w:adjustRightInd/>
              <w:snapToGrid/>
              <w:spacing w:line="360" w:lineRule="auto"/>
              <w:ind w:left="60" w:right="60"/>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百分比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blHeader/>
          <w:jc w:val="center"/>
        </w:trPr>
        <w:tc>
          <w:tcPr>
            <w:tcW w:w="888" w:type="dxa"/>
            <w:vMerge w:val="restart"/>
            <w:tcBorders>
              <w:top w:val="single" w:color="auto" w:sz="4" w:space="0"/>
              <w:left w:val="nil"/>
              <w:right w:val="nil"/>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lang w:eastAsia="zh-CN"/>
              </w:rPr>
              <w:t>年龄</w:t>
            </w:r>
          </w:p>
        </w:tc>
        <w:tc>
          <w:tcPr>
            <w:tcW w:w="2525" w:type="dxa"/>
            <w:tcBorders>
              <w:top w:val="single" w:color="auto" w:sz="4" w:space="0"/>
              <w:left w:val="nil"/>
              <w:bottom w:val="nil"/>
              <w:right w:val="nil"/>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val="en-US" w:eastAsia="zh-CN"/>
              </w:rPr>
              <w:t>12岁</w:t>
            </w:r>
          </w:p>
        </w:tc>
        <w:tc>
          <w:tcPr>
            <w:tcW w:w="967" w:type="dxa"/>
            <w:tcBorders>
              <w:top w:val="single" w:color="auto" w:sz="4" w:space="0"/>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rPr>
              <w:t>2</w:t>
            </w:r>
          </w:p>
        </w:tc>
        <w:tc>
          <w:tcPr>
            <w:tcW w:w="1213" w:type="dxa"/>
            <w:tcBorders>
              <w:top w:val="single" w:color="auto" w:sz="4" w:space="0"/>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lang w:val="en-US" w:eastAsia="zh-CN"/>
              </w:rPr>
              <w:t>0</w:t>
            </w:r>
            <w:r>
              <w:rPr>
                <w:rFonts w:hint="eastAsia" w:ascii="仿宋_GB2312" w:hAnsi="仿宋_GB2312" w:eastAsia="仿宋_GB2312" w:cs="仿宋_GB2312"/>
                <w:color w:val="auto"/>
                <w:sz w:val="24"/>
                <w:szCs w:val="24"/>
                <w:u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blHeader/>
          <w:jc w:val="center"/>
        </w:trPr>
        <w:tc>
          <w:tcPr>
            <w:tcW w:w="888" w:type="dxa"/>
            <w:vMerge w:val="continue"/>
            <w:tcBorders>
              <w:left w:val="nil"/>
              <w:right w:val="nil"/>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color w:val="auto"/>
                <w:sz w:val="24"/>
                <w:szCs w:val="24"/>
                <w:u w:val="none"/>
              </w:rPr>
            </w:pPr>
          </w:p>
        </w:tc>
        <w:tc>
          <w:tcPr>
            <w:tcW w:w="2525" w:type="dxa"/>
            <w:tcBorders>
              <w:top w:val="nil"/>
              <w:left w:val="nil"/>
              <w:bottom w:val="nil"/>
              <w:right w:val="nil"/>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13-17岁</w:t>
            </w:r>
          </w:p>
        </w:tc>
        <w:tc>
          <w:tcPr>
            <w:tcW w:w="967"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rPr>
              <w:t>9</w:t>
            </w:r>
          </w:p>
        </w:tc>
        <w:tc>
          <w:tcPr>
            <w:tcW w:w="1213"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lang w:val="en-US" w:eastAsia="zh-CN"/>
              </w:rPr>
              <w:t>0</w:t>
            </w:r>
            <w:r>
              <w:rPr>
                <w:rFonts w:hint="eastAsia" w:ascii="仿宋_GB2312" w:hAnsi="仿宋_GB2312" w:eastAsia="仿宋_GB2312" w:cs="仿宋_GB2312"/>
                <w:color w:val="auto"/>
                <w:sz w:val="24"/>
                <w:szCs w:val="24"/>
                <w:u w:val="none"/>
              </w:rPr>
              <w:t>.9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blHeader/>
          <w:jc w:val="center"/>
        </w:trPr>
        <w:tc>
          <w:tcPr>
            <w:tcW w:w="888" w:type="dxa"/>
            <w:vMerge w:val="continue"/>
            <w:tcBorders>
              <w:left w:val="nil"/>
              <w:right w:val="nil"/>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color w:val="auto"/>
                <w:sz w:val="24"/>
                <w:szCs w:val="24"/>
                <w:u w:val="none"/>
              </w:rPr>
            </w:pPr>
          </w:p>
        </w:tc>
        <w:tc>
          <w:tcPr>
            <w:tcW w:w="2525" w:type="dxa"/>
            <w:tcBorders>
              <w:top w:val="nil"/>
              <w:left w:val="nil"/>
              <w:bottom w:val="nil"/>
              <w:right w:val="nil"/>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val="en-US" w:eastAsia="zh-CN"/>
              </w:rPr>
              <w:t>18岁</w:t>
            </w:r>
          </w:p>
        </w:tc>
        <w:tc>
          <w:tcPr>
            <w:tcW w:w="967"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rPr>
              <w:t>1038</w:t>
            </w:r>
          </w:p>
        </w:tc>
        <w:tc>
          <w:tcPr>
            <w:tcW w:w="1213"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99.0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blHeader/>
          <w:jc w:val="center"/>
        </w:trPr>
        <w:tc>
          <w:tcPr>
            <w:tcW w:w="888" w:type="dxa"/>
            <w:vMerge w:val="continue"/>
            <w:tcBorders>
              <w:left w:val="nil"/>
              <w:bottom w:val="single" w:color="auto" w:sz="4" w:space="0"/>
              <w:right w:val="nil"/>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color w:val="auto"/>
                <w:sz w:val="24"/>
                <w:szCs w:val="24"/>
                <w:u w:val="none"/>
              </w:rPr>
            </w:pPr>
          </w:p>
        </w:tc>
        <w:tc>
          <w:tcPr>
            <w:tcW w:w="2525" w:type="dxa"/>
            <w:tcBorders>
              <w:top w:val="nil"/>
              <w:left w:val="nil"/>
              <w:bottom w:val="single" w:color="auto" w:sz="4" w:space="0"/>
              <w:right w:val="nil"/>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lang w:eastAsia="zh-CN"/>
              </w:rPr>
              <w:t>合计</w:t>
            </w:r>
          </w:p>
        </w:tc>
        <w:tc>
          <w:tcPr>
            <w:tcW w:w="967" w:type="dxa"/>
            <w:tcBorders>
              <w:top w:val="nil"/>
              <w:left w:val="nil"/>
              <w:bottom w:val="single" w:color="auto" w:sz="4" w:space="0"/>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rPr>
              <w:t>1049</w:t>
            </w:r>
          </w:p>
        </w:tc>
        <w:tc>
          <w:tcPr>
            <w:tcW w:w="1213" w:type="dxa"/>
            <w:tcBorders>
              <w:top w:val="nil"/>
              <w:left w:val="nil"/>
              <w:bottom w:val="single" w:color="auto" w:sz="4" w:space="0"/>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leftChars="0" w:right="60" w:rightChars="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blHeader/>
          <w:jc w:val="center"/>
        </w:trPr>
        <w:tc>
          <w:tcPr>
            <w:tcW w:w="888" w:type="dxa"/>
            <w:vMerge w:val="restart"/>
            <w:tcBorders>
              <w:top w:val="single" w:color="auto" w:sz="4" w:space="0"/>
              <w:left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lang w:eastAsia="zh-CN"/>
              </w:rPr>
              <w:t>身份</w:t>
            </w:r>
          </w:p>
        </w:tc>
        <w:tc>
          <w:tcPr>
            <w:tcW w:w="2525" w:type="dxa"/>
            <w:tcBorders>
              <w:top w:val="single" w:color="auto" w:sz="4" w:space="0"/>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right="6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农村低保对象</w:t>
            </w:r>
          </w:p>
        </w:tc>
        <w:tc>
          <w:tcPr>
            <w:tcW w:w="967" w:type="dxa"/>
            <w:tcBorders>
              <w:top w:val="single" w:color="auto" w:sz="4" w:space="0"/>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right="6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633</w:t>
            </w:r>
          </w:p>
        </w:tc>
        <w:tc>
          <w:tcPr>
            <w:tcW w:w="1213" w:type="dxa"/>
            <w:tcBorders>
              <w:top w:val="single" w:color="auto" w:sz="4" w:space="0"/>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right="6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60.3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blHeader/>
          <w:jc w:val="center"/>
        </w:trPr>
        <w:tc>
          <w:tcPr>
            <w:tcW w:w="888" w:type="dxa"/>
            <w:vMerge w:val="continue"/>
            <w:tcBorders>
              <w:left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right="60"/>
              <w:rPr>
                <w:rFonts w:hint="eastAsia" w:ascii="仿宋_GB2312" w:hAnsi="仿宋_GB2312" w:eastAsia="仿宋_GB2312" w:cs="仿宋_GB2312"/>
                <w:color w:val="auto"/>
                <w:sz w:val="24"/>
                <w:szCs w:val="24"/>
                <w:u w:val="none"/>
              </w:rPr>
            </w:pPr>
          </w:p>
        </w:tc>
        <w:tc>
          <w:tcPr>
            <w:tcW w:w="2525"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right="6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城市低保对象</w:t>
            </w:r>
          </w:p>
        </w:tc>
        <w:tc>
          <w:tcPr>
            <w:tcW w:w="967"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right="6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407</w:t>
            </w:r>
          </w:p>
        </w:tc>
        <w:tc>
          <w:tcPr>
            <w:tcW w:w="1213"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right="6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38.8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blHeader/>
          <w:jc w:val="center"/>
        </w:trPr>
        <w:tc>
          <w:tcPr>
            <w:tcW w:w="888" w:type="dxa"/>
            <w:vMerge w:val="continue"/>
            <w:tcBorders>
              <w:left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right="60"/>
              <w:rPr>
                <w:rFonts w:hint="eastAsia" w:ascii="仿宋_GB2312" w:hAnsi="仿宋_GB2312" w:eastAsia="仿宋_GB2312" w:cs="仿宋_GB2312"/>
                <w:color w:val="auto"/>
                <w:sz w:val="24"/>
                <w:szCs w:val="24"/>
                <w:u w:val="none"/>
              </w:rPr>
            </w:pPr>
          </w:p>
        </w:tc>
        <w:tc>
          <w:tcPr>
            <w:tcW w:w="2525"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right="6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特困供养/优抚人员</w:t>
            </w:r>
          </w:p>
        </w:tc>
        <w:tc>
          <w:tcPr>
            <w:tcW w:w="967"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right="6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7</w:t>
            </w:r>
          </w:p>
        </w:tc>
        <w:tc>
          <w:tcPr>
            <w:tcW w:w="1213"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right="6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lang w:val="en-US" w:eastAsia="zh-CN"/>
              </w:rPr>
              <w:t>0</w:t>
            </w:r>
            <w:r>
              <w:rPr>
                <w:rFonts w:hint="eastAsia" w:ascii="仿宋_GB2312" w:hAnsi="仿宋_GB2312" w:eastAsia="仿宋_GB2312" w:cs="仿宋_GB2312"/>
                <w:color w:val="auto"/>
                <w:sz w:val="24"/>
                <w:szCs w:val="24"/>
                <w:u w:val="none"/>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blHeader/>
          <w:jc w:val="center"/>
        </w:trPr>
        <w:tc>
          <w:tcPr>
            <w:tcW w:w="888" w:type="dxa"/>
            <w:vMerge w:val="continue"/>
            <w:tcBorders>
              <w:left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right="60"/>
              <w:rPr>
                <w:rFonts w:hint="eastAsia" w:ascii="仿宋_GB2312" w:hAnsi="仿宋_GB2312" w:eastAsia="仿宋_GB2312" w:cs="仿宋_GB2312"/>
                <w:color w:val="auto"/>
                <w:sz w:val="24"/>
                <w:szCs w:val="24"/>
                <w:u w:val="none"/>
              </w:rPr>
            </w:pPr>
          </w:p>
        </w:tc>
        <w:tc>
          <w:tcPr>
            <w:tcW w:w="2525"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right="6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贫困户</w:t>
            </w:r>
          </w:p>
        </w:tc>
        <w:tc>
          <w:tcPr>
            <w:tcW w:w="967"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right="6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w:t>
            </w:r>
          </w:p>
        </w:tc>
        <w:tc>
          <w:tcPr>
            <w:tcW w:w="1213"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right="6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lang w:val="en-US" w:eastAsia="zh-CN"/>
              </w:rPr>
              <w:t>0</w:t>
            </w:r>
            <w:r>
              <w:rPr>
                <w:rFonts w:hint="eastAsia" w:ascii="仿宋_GB2312" w:hAnsi="仿宋_GB2312" w:eastAsia="仿宋_GB2312" w:cs="仿宋_GB2312"/>
                <w:color w:val="auto"/>
                <w:sz w:val="24"/>
                <w:szCs w:val="24"/>
                <w:u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blHeader/>
          <w:jc w:val="center"/>
        </w:trPr>
        <w:tc>
          <w:tcPr>
            <w:tcW w:w="888" w:type="dxa"/>
            <w:vMerge w:val="continue"/>
            <w:tcBorders>
              <w:left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right="60"/>
              <w:rPr>
                <w:rFonts w:hint="eastAsia" w:ascii="仿宋_GB2312" w:hAnsi="仿宋_GB2312" w:eastAsia="仿宋_GB2312" w:cs="仿宋_GB2312"/>
                <w:color w:val="auto"/>
                <w:sz w:val="24"/>
                <w:szCs w:val="24"/>
                <w:u w:val="none"/>
              </w:rPr>
            </w:pPr>
          </w:p>
        </w:tc>
        <w:tc>
          <w:tcPr>
            <w:tcW w:w="2525"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right="6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困难人群</w:t>
            </w:r>
          </w:p>
        </w:tc>
        <w:tc>
          <w:tcPr>
            <w:tcW w:w="967"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right="6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w:t>
            </w:r>
          </w:p>
        </w:tc>
        <w:tc>
          <w:tcPr>
            <w:tcW w:w="1213" w:type="dxa"/>
            <w:tcBorders>
              <w:top w:val="nil"/>
              <w:left w:val="nil"/>
              <w:bottom w:val="nil"/>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right="6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lang w:val="en-US" w:eastAsia="zh-CN"/>
              </w:rPr>
              <w:t>0</w:t>
            </w:r>
            <w:r>
              <w:rPr>
                <w:rFonts w:hint="eastAsia" w:ascii="仿宋_GB2312" w:hAnsi="仿宋_GB2312" w:eastAsia="仿宋_GB2312" w:cs="仿宋_GB2312"/>
                <w:color w:val="auto"/>
                <w:sz w:val="24"/>
                <w:szCs w:val="24"/>
                <w:u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jc w:val="center"/>
        </w:trPr>
        <w:tc>
          <w:tcPr>
            <w:tcW w:w="888" w:type="dxa"/>
            <w:vMerge w:val="continue"/>
            <w:tcBorders>
              <w:left w:val="nil"/>
              <w:bottom w:val="double" w:color="000000" w:sz="8" w:space="0"/>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right="60"/>
              <w:rPr>
                <w:rFonts w:hint="eastAsia" w:ascii="仿宋_GB2312" w:hAnsi="仿宋_GB2312" w:eastAsia="仿宋_GB2312" w:cs="仿宋_GB2312"/>
                <w:color w:val="auto"/>
                <w:sz w:val="24"/>
                <w:szCs w:val="24"/>
                <w:u w:val="none"/>
              </w:rPr>
            </w:pPr>
          </w:p>
        </w:tc>
        <w:tc>
          <w:tcPr>
            <w:tcW w:w="2525" w:type="dxa"/>
            <w:tcBorders>
              <w:top w:val="nil"/>
              <w:left w:val="nil"/>
              <w:bottom w:val="double" w:color="000000" w:sz="8" w:space="0"/>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right="6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合计</w:t>
            </w:r>
          </w:p>
        </w:tc>
        <w:tc>
          <w:tcPr>
            <w:tcW w:w="967" w:type="dxa"/>
            <w:tcBorders>
              <w:top w:val="nil"/>
              <w:left w:val="nil"/>
              <w:bottom w:val="double" w:color="000000" w:sz="8" w:space="0"/>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right="6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1049</w:t>
            </w:r>
          </w:p>
        </w:tc>
        <w:tc>
          <w:tcPr>
            <w:tcW w:w="1213" w:type="dxa"/>
            <w:tcBorders>
              <w:top w:val="nil"/>
              <w:left w:val="nil"/>
              <w:bottom w:val="double" w:color="000000" w:sz="8" w:space="0"/>
              <w:right w:val="nil"/>
              <w:tl2br w:val="nil"/>
              <w:tr2bl w:val="nil"/>
            </w:tcBorders>
            <w:shd w:val="clear" w:color="auto" w:fill="FFFFFF"/>
          </w:tcPr>
          <w:p>
            <w:pPr>
              <w:keepNext w:val="0"/>
              <w:keepLines w:val="0"/>
              <w:pageBreakBefore w:val="0"/>
              <w:kinsoku/>
              <w:wordWrap/>
              <w:overflowPunct/>
              <w:topLinePunct w:val="0"/>
              <w:autoSpaceDE/>
              <w:autoSpaceDN/>
              <w:bidi w:val="0"/>
              <w:adjustRightInd/>
              <w:snapToGrid/>
              <w:spacing w:line="360" w:lineRule="auto"/>
              <w:ind w:left="60" w:right="6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100.0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0"/>
        <w:jc w:val="both"/>
        <w:textAlignment w:val="auto"/>
        <w:outlineLvl w:val="9"/>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救助对象年龄主要集中于18岁及以上，救助对象主要是大中专学生，小学生与中学生非常少。基本集中于低保群体，对其它人群鲜有涉及。农村低保对象占60.3%，城市低保对象占38.8，低保人群共占99.1%。</w:t>
      </w:r>
      <w:bookmarkStart w:id="26" w:name="_Toc10015"/>
    </w:p>
    <w:p>
      <w:pPr>
        <w:pStyle w:val="4"/>
        <w:keepNext w:val="0"/>
        <w:keepLines w:val="0"/>
        <w:pageBreakBefore w:val="0"/>
        <w:widowControl w:val="0"/>
        <w:kinsoku/>
        <w:wordWrap/>
        <w:overflowPunct/>
        <w:topLinePunct w:val="0"/>
        <w:autoSpaceDE w:val="0"/>
        <w:autoSpaceDN w:val="0"/>
        <w:bidi w:val="0"/>
        <w:adjustRightInd w:val="0"/>
        <w:snapToGrid/>
        <w:ind w:firstLine="643" w:firstLineChars="200"/>
        <w:textAlignment w:val="auto"/>
        <w:rPr>
          <w:rFonts w:hint="eastAsia" w:ascii="方正仿宋_GBK" w:hAnsi="方正仿宋_GBK" w:eastAsia="方正仿宋_GBK" w:cs="方正仿宋_GBK"/>
          <w:color w:val="auto"/>
          <w:sz w:val="32"/>
          <w:szCs w:val="32"/>
          <w:u w:val="none"/>
          <w:lang w:val="en-US" w:eastAsia="zh-CN"/>
        </w:rPr>
      </w:pPr>
      <w:bookmarkStart w:id="27" w:name="_Toc30918"/>
      <w:r>
        <w:rPr>
          <w:rFonts w:hint="eastAsia" w:ascii="方正仿宋_GBK" w:hAnsi="方正仿宋_GBK" w:eastAsia="方正仿宋_GBK" w:cs="方正仿宋_GBK"/>
          <w:color w:val="auto"/>
          <w:sz w:val="32"/>
          <w:szCs w:val="32"/>
          <w:u w:val="none"/>
          <w:lang w:val="en-US" w:eastAsia="zh-CN"/>
        </w:rPr>
        <w:t>（二）“物质+服务”，创新社区救助新模式</w:t>
      </w:r>
      <w:bookmarkEnd w:id="26"/>
      <w:bookmarkEnd w:id="27"/>
      <w:r>
        <w:rPr>
          <w:rFonts w:hint="eastAsia" w:ascii="方正仿宋_GBK" w:hAnsi="方正仿宋_GBK" w:eastAsia="方正仿宋_GBK" w:cs="方正仿宋_GBK"/>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0"/>
        <w:jc w:val="both"/>
        <w:textAlignment w:val="auto"/>
        <w:outlineLvl w:val="9"/>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随着全面建成小康社会的实现，乡村扶贫攻坚工作逐步进入尾声，2020年，救助对象中，贫困户的人数明显下降。而城市贫困问题日益凸显，少数城市社区的困难群众仍然存在基本生活难、看病就医难、子女上学难等问题。</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0"/>
        <w:jc w:val="both"/>
        <w:textAlignment w:val="auto"/>
        <w:outlineLvl w:val="9"/>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基金会积极面对新时期新问题，深入贯彻《重庆市人民政府办公厅关于加强城市特殊困难群众救助帮扶工作的意见》（渝府办发〔2018〕161号）文件精神，创新对城市社区困难人群的救助方式，推动社会救助向纵深发展，不断增强保民生、兜底线、救急解难的力量。2019年7月，基金会在南岸区城市社区开启了城市社区困难群众直接救助专项试点活动，解决城市特殊困难群众基本生活困难。2019-2020年，城市社区困难人群的救助数量迅速增长。“社区救助”采用“物质+服务”的社区直接救助模式。精准对接差异化的社会救助需求，从单纯的资金物资保障向资金物资保障、生活照料服务以及心理疏导相结合的方向转变。按照政府引导，社区自主，居民互助，社会参与的原则，以社区自主为基础，志愿服务为依托，社会力量为支撑，众筹平台为补充，建立形成主动发现，快速回应，政社互补，急难有救的城市社区特别困难群众救助格局。</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0"/>
        <w:jc w:val="both"/>
        <w:textAlignment w:val="auto"/>
        <w:outlineLvl w:val="9"/>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b w:val="0"/>
          <w:bCs w:val="0"/>
          <w:color w:val="auto"/>
          <w:kern w:val="2"/>
          <w:sz w:val="32"/>
          <w:szCs w:val="32"/>
          <w:u w:val="none"/>
          <w:lang w:val="en-US" w:eastAsia="zh-CN" w:bidi="ar-SA"/>
        </w:rPr>
        <w:t>1、实施“一米阳光计划”。</w:t>
      </w:r>
      <w:r>
        <w:rPr>
          <w:rFonts w:hint="default" w:ascii="Times New Roman" w:hAnsi="Times New Roman" w:eastAsia="方正仿宋_GBK" w:cs="Times New Roman"/>
          <w:color w:val="auto"/>
          <w:sz w:val="32"/>
          <w:szCs w:val="32"/>
          <w:u w:val="none"/>
          <w:lang w:val="en-US" w:eastAsia="zh-CN"/>
        </w:rPr>
        <w:t>2019年6月，基金会与中共重庆市委党校（重庆行政学院）“社区救助”课题组合作对南岸区101 个社区的困难群众进行了救助需求调查并形成调查报告和“社区救助”试行方案。在此基础上，基金会结合工作实际制定了“让一米暖阳能够照进每个人的心田”的“一米阳光计划”。该计划以重庆市南岸区困难群众较多的社区为重点，以社区和社区志愿者为主要力量，及时发现因重病、就学、重度残疾和综合困境导致基本生活困难的特殊困难家庭或人员。及时主动，简便快捷实施直接救助与精准帮扶，解决困难群众的基本生活困难、缓解其经济负担和精神压力。基金会在南岸97个社区均直接建立志愿服务阳光驿站，直接办理和审核城市困难群众的救助申请。2019年“一米阳光计划”共支出救助金111万元，救助104人；2020年，共支出救助金117.35万元，救助206人。不仅有效缓解了困难群众的生活压力和工作负担，而且将党和政府的关心、社会的关爱及时传递给了困难家庭。</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0"/>
        <w:jc w:val="both"/>
        <w:textAlignment w:val="auto"/>
        <w:outlineLvl w:val="9"/>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b w:val="0"/>
          <w:bCs w:val="0"/>
          <w:color w:val="auto"/>
          <w:kern w:val="2"/>
          <w:sz w:val="32"/>
          <w:szCs w:val="32"/>
          <w:u w:val="none"/>
          <w:lang w:val="en-US" w:eastAsia="zh-CN" w:bidi="ar-SA"/>
        </w:rPr>
        <w:t>2、实施“春和计划”。</w:t>
      </w:r>
      <w:r>
        <w:rPr>
          <w:rFonts w:hint="default" w:ascii="Times New Roman" w:hAnsi="Times New Roman" w:eastAsia="方正仿宋_GBK" w:cs="Times New Roman"/>
          <w:color w:val="auto"/>
          <w:sz w:val="32"/>
          <w:szCs w:val="32"/>
          <w:u w:val="none"/>
          <w:lang w:val="en-US" w:eastAsia="zh-CN"/>
        </w:rPr>
        <w:t>“春和计划”特别困难人员心理服务项目（简称“春和计划”）由基金会主办，南坪街道办事处、南岸区民政局、南岸区卫健委等单位协办，专门对街道社区内那些需要心理关爱的特别困难人员提供心理测量、心理诊断、心理咨询、心理关爱、危机干预服务的项目。心理救助可以通过提供心理咨询和疏导，帮助受助者树立脱贫信心和维持心理健康，鼓励积极的社会参与，推进社会融入，不断增强困难群众内生动力和自我发展能力。该计划于2019年11月正式启动，由西南大学心理学部、重庆市静心家园心理咨询有限责任公司、萤火虫社会工作服务中心等社会心理咨询服务机构分别在南坪街道、弹子石街道、天文街道等社区建立了心理咨询室，免费向困难群众提供心理干预和抚慰等咨询服务。截至2020年6月底，通过“春和计划”累计困难群众进行了792余次心理咨询服务，极大缓解了困难家庭 人员的精神压力和心理负担，促使困难群众克服了融入社会的心 理障碍，增强了基本生活信心，在防止部分困难群众制造冲破社 会道德底线事件上设置了一道“屏障”。“春和计划”咨询服务接受重庆电视台采访，专访节目于2019年12月29日播出，获得较好的社会反响。</w:t>
      </w:r>
      <w:bookmarkStart w:id="28" w:name="_Toc13835"/>
    </w:p>
    <w:p>
      <w:pPr>
        <w:pStyle w:val="4"/>
        <w:keepNext w:val="0"/>
        <w:keepLines w:val="0"/>
        <w:pageBreakBefore w:val="0"/>
        <w:widowControl w:val="0"/>
        <w:kinsoku/>
        <w:wordWrap/>
        <w:overflowPunct/>
        <w:topLinePunct w:val="0"/>
        <w:autoSpaceDE w:val="0"/>
        <w:autoSpaceDN w:val="0"/>
        <w:bidi w:val="0"/>
        <w:adjustRightInd w:val="0"/>
        <w:snapToGrid/>
        <w:ind w:firstLine="643" w:firstLineChars="200"/>
        <w:textAlignment w:val="auto"/>
        <w:rPr>
          <w:rFonts w:hint="eastAsia" w:ascii="方正仿宋_GBK" w:hAnsi="方正仿宋_GBK" w:eastAsia="方正仿宋_GBK" w:cs="方正仿宋_GBK"/>
          <w:color w:val="auto"/>
          <w:sz w:val="32"/>
          <w:szCs w:val="32"/>
          <w:u w:val="none"/>
          <w:lang w:val="en-US" w:eastAsia="zh-CN"/>
        </w:rPr>
      </w:pPr>
      <w:bookmarkStart w:id="29" w:name="_Toc7887"/>
      <w:r>
        <w:rPr>
          <w:rFonts w:hint="eastAsia" w:ascii="方正仿宋_GBK" w:hAnsi="方正仿宋_GBK" w:eastAsia="方正仿宋_GBK" w:cs="方正仿宋_GBK"/>
          <w:color w:val="auto"/>
          <w:sz w:val="32"/>
          <w:szCs w:val="32"/>
          <w:u w:val="none"/>
          <w:lang w:val="en-US" w:eastAsia="zh-CN"/>
        </w:rPr>
        <w:t>（三）急难众筹，广泛集聚社会</w:t>
      </w:r>
      <w:bookmarkEnd w:id="28"/>
      <w:r>
        <w:rPr>
          <w:rFonts w:hint="eastAsia" w:ascii="方正仿宋_GBK" w:hAnsi="方正仿宋_GBK" w:eastAsia="方正仿宋_GBK" w:cs="方正仿宋_GBK"/>
          <w:color w:val="auto"/>
          <w:sz w:val="32"/>
          <w:szCs w:val="32"/>
          <w:u w:val="none"/>
          <w:lang w:val="en-US" w:eastAsia="zh-CN"/>
        </w:rPr>
        <w:t>救助力量</w:t>
      </w:r>
      <w:bookmarkEnd w:id="29"/>
      <w:r>
        <w:rPr>
          <w:rFonts w:hint="eastAsia" w:ascii="方正仿宋_GBK" w:hAnsi="方正仿宋_GBK" w:eastAsia="方正仿宋_GBK" w:cs="方正仿宋_GBK"/>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0"/>
        <w:jc w:val="both"/>
        <w:textAlignment w:val="auto"/>
        <w:outlineLvl w:val="9"/>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中共中央办公厅、国务院办公厅印发的《关于改革完善社会救助制度的意见》要求，“进一步完善政府购买社会救助服务政策措施，鼓励社会力量和市场主体参与社会救助，扩大社会救助服务供给。”基金会在资金筹集、公益组织合作、志愿者培养等方面拓展社会力量，多方式引入社会资源。社会力量的积极参与不但有利于增加社会募集资金渠道，也有助于社会救助方式的多样化和转型升级，提升受助者的主观福利效应，更好地发挥社会救助的贫困治理功能。</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0"/>
        <w:jc w:val="both"/>
        <w:textAlignment w:val="auto"/>
        <w:outlineLvl w:val="9"/>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1、多渠道扩大救助资金来源。基金会通过专项基金、公开募捐、众筹平台等方式，实现政府救助与社会捐赠的有机结合，拓宽了困难群众救助渠道。2014年以来，在重庆咏寿堂公司和重庆长庚实业公司的积极参与下，分别建立了重庆咏寿堂孝爱专项基金和长庚医疗救助基金。其中，咏寿堂孝爱基金支出90万元，与基金会按10:1的比例配套，专门开展对老人和儿童的困难救助。2019年设立专项基金37个，定向扶弱济困。</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0"/>
        <w:jc w:val="both"/>
        <w:textAlignment w:val="auto"/>
        <w:outlineLvl w:val="9"/>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2018年，在持续努力下，基金会获得公开募捐资格。当年，即公开筹集资金270万元，2021年上半年公开募集810万元，四年间公开募集增长3倍，年度公募资金的占比从0.5%提升到了28%。说明基金会的品牌意识有提升，知名度在扩大，得到了社会大众的认可，吸引了更多的社会力量支持。基金会收入逐步从单纯依靠财政和福彩，朝向多元化方向发展。</w:t>
      </w:r>
    </w:p>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b/>
          <w:bCs/>
          <w:color w:val="auto"/>
          <w:sz w:val="24"/>
          <w:szCs w:val="24"/>
          <w:u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b/>
          <w:bCs/>
          <w:color w:val="auto"/>
          <w:sz w:val="24"/>
          <w:szCs w:val="24"/>
          <w:u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b/>
          <w:bCs/>
          <w:color w:val="auto"/>
          <w:sz w:val="24"/>
          <w:szCs w:val="24"/>
          <w:u w:val="none"/>
          <w:lang w:val="en-US" w:eastAsia="zh-CN"/>
        </w:rPr>
      </w:pPr>
      <w:r>
        <w:rPr>
          <w:rFonts w:hint="eastAsia" w:ascii="仿宋_GB2312" w:hAnsi="仿宋_GB2312" w:eastAsia="仿宋_GB2312" w:cs="仿宋_GB2312"/>
          <w:b/>
          <w:bCs/>
          <w:color w:val="auto"/>
          <w:sz w:val="24"/>
          <w:szCs w:val="24"/>
          <w:u w:val="none"/>
          <w:lang w:val="en-US" w:eastAsia="zh-CN"/>
        </w:rPr>
        <w:t>表2.5 筹资情况</w:t>
      </w:r>
    </w:p>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 xml:space="preserve">                                            单位：万元，%</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209"/>
        <w:gridCol w:w="1258"/>
        <w:gridCol w:w="1225"/>
        <w:gridCol w:w="1317"/>
        <w:gridCol w:w="1213"/>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年度</w:t>
            </w:r>
          </w:p>
        </w:tc>
        <w:tc>
          <w:tcPr>
            <w:tcW w:w="1209"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总筹资</w:t>
            </w:r>
          </w:p>
        </w:tc>
        <w:tc>
          <w:tcPr>
            <w:tcW w:w="1258"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财政拨款</w:t>
            </w:r>
          </w:p>
        </w:tc>
        <w:tc>
          <w:tcPr>
            <w:tcW w:w="1225"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福彩收入</w:t>
            </w:r>
          </w:p>
        </w:tc>
        <w:tc>
          <w:tcPr>
            <w:tcW w:w="1317"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社会募集</w:t>
            </w:r>
          </w:p>
        </w:tc>
        <w:tc>
          <w:tcPr>
            <w:tcW w:w="1213"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社会募集资金占比</w:t>
            </w:r>
          </w:p>
        </w:tc>
        <w:tc>
          <w:tcPr>
            <w:tcW w:w="1373"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2011</w:t>
            </w:r>
          </w:p>
        </w:tc>
        <w:tc>
          <w:tcPr>
            <w:tcW w:w="1209"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603</w:t>
            </w:r>
          </w:p>
        </w:tc>
        <w:tc>
          <w:tcPr>
            <w:tcW w:w="1258"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400</w:t>
            </w:r>
          </w:p>
        </w:tc>
        <w:tc>
          <w:tcPr>
            <w:tcW w:w="1225"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200</w:t>
            </w:r>
          </w:p>
        </w:tc>
        <w:tc>
          <w:tcPr>
            <w:tcW w:w="1317"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3</w:t>
            </w:r>
          </w:p>
        </w:tc>
        <w:tc>
          <w:tcPr>
            <w:tcW w:w="1213"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0.50</w:t>
            </w:r>
          </w:p>
        </w:tc>
        <w:tc>
          <w:tcPr>
            <w:tcW w:w="1373"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1206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2012</w:t>
            </w:r>
          </w:p>
        </w:tc>
        <w:tc>
          <w:tcPr>
            <w:tcW w:w="1209"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1736</w:t>
            </w:r>
          </w:p>
        </w:tc>
        <w:tc>
          <w:tcPr>
            <w:tcW w:w="1258"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1400</w:t>
            </w:r>
          </w:p>
        </w:tc>
        <w:tc>
          <w:tcPr>
            <w:tcW w:w="1225"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300</w:t>
            </w:r>
          </w:p>
        </w:tc>
        <w:tc>
          <w:tcPr>
            <w:tcW w:w="1317"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36</w:t>
            </w:r>
          </w:p>
        </w:tc>
        <w:tc>
          <w:tcPr>
            <w:tcW w:w="1213"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2.07</w:t>
            </w:r>
          </w:p>
        </w:tc>
        <w:tc>
          <w:tcPr>
            <w:tcW w:w="1373"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3472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2013</w:t>
            </w:r>
          </w:p>
        </w:tc>
        <w:tc>
          <w:tcPr>
            <w:tcW w:w="1209"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1008.7</w:t>
            </w:r>
          </w:p>
        </w:tc>
        <w:tc>
          <w:tcPr>
            <w:tcW w:w="1258"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1000</w:t>
            </w:r>
          </w:p>
        </w:tc>
        <w:tc>
          <w:tcPr>
            <w:tcW w:w="1225"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p>
        </w:tc>
        <w:tc>
          <w:tcPr>
            <w:tcW w:w="1317"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8.7</w:t>
            </w:r>
          </w:p>
        </w:tc>
        <w:tc>
          <w:tcPr>
            <w:tcW w:w="1213"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0.86</w:t>
            </w:r>
          </w:p>
        </w:tc>
        <w:tc>
          <w:tcPr>
            <w:tcW w:w="1373"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2017.4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2014</w:t>
            </w:r>
          </w:p>
        </w:tc>
        <w:tc>
          <w:tcPr>
            <w:tcW w:w="1209"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1583.65</w:t>
            </w:r>
          </w:p>
        </w:tc>
        <w:tc>
          <w:tcPr>
            <w:tcW w:w="1258"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1200</w:t>
            </w:r>
          </w:p>
        </w:tc>
        <w:tc>
          <w:tcPr>
            <w:tcW w:w="1225"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300</w:t>
            </w:r>
          </w:p>
        </w:tc>
        <w:tc>
          <w:tcPr>
            <w:tcW w:w="1317"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83.65</w:t>
            </w:r>
          </w:p>
        </w:tc>
        <w:tc>
          <w:tcPr>
            <w:tcW w:w="1213"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5.28</w:t>
            </w:r>
          </w:p>
        </w:tc>
        <w:tc>
          <w:tcPr>
            <w:tcW w:w="1373"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3167.3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2015</w:t>
            </w:r>
          </w:p>
        </w:tc>
        <w:tc>
          <w:tcPr>
            <w:tcW w:w="1209"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1355.66</w:t>
            </w:r>
          </w:p>
        </w:tc>
        <w:tc>
          <w:tcPr>
            <w:tcW w:w="1258"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1204</w:t>
            </w:r>
          </w:p>
        </w:tc>
        <w:tc>
          <w:tcPr>
            <w:tcW w:w="1225"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p>
        </w:tc>
        <w:tc>
          <w:tcPr>
            <w:tcW w:w="1317"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151.66</w:t>
            </w:r>
          </w:p>
        </w:tc>
        <w:tc>
          <w:tcPr>
            <w:tcW w:w="1213"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11.19</w:t>
            </w:r>
          </w:p>
        </w:tc>
        <w:tc>
          <w:tcPr>
            <w:tcW w:w="1373"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2711.32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2016</w:t>
            </w:r>
          </w:p>
        </w:tc>
        <w:tc>
          <w:tcPr>
            <w:tcW w:w="1209"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2279.62</w:t>
            </w:r>
          </w:p>
        </w:tc>
        <w:tc>
          <w:tcPr>
            <w:tcW w:w="1258"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1884</w:t>
            </w:r>
          </w:p>
        </w:tc>
        <w:tc>
          <w:tcPr>
            <w:tcW w:w="1225"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300</w:t>
            </w:r>
          </w:p>
        </w:tc>
        <w:tc>
          <w:tcPr>
            <w:tcW w:w="1317"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95.62</w:t>
            </w:r>
          </w:p>
        </w:tc>
        <w:tc>
          <w:tcPr>
            <w:tcW w:w="1213"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4.19</w:t>
            </w:r>
          </w:p>
        </w:tc>
        <w:tc>
          <w:tcPr>
            <w:tcW w:w="1373"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4559.24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2017</w:t>
            </w:r>
          </w:p>
        </w:tc>
        <w:tc>
          <w:tcPr>
            <w:tcW w:w="1209"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2553.55</w:t>
            </w:r>
          </w:p>
        </w:tc>
        <w:tc>
          <w:tcPr>
            <w:tcW w:w="1258"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2000</w:t>
            </w:r>
          </w:p>
        </w:tc>
        <w:tc>
          <w:tcPr>
            <w:tcW w:w="1225"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500</w:t>
            </w:r>
          </w:p>
        </w:tc>
        <w:tc>
          <w:tcPr>
            <w:tcW w:w="1317"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53.55</w:t>
            </w:r>
          </w:p>
        </w:tc>
        <w:tc>
          <w:tcPr>
            <w:tcW w:w="1213"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2.10</w:t>
            </w:r>
          </w:p>
        </w:tc>
        <w:tc>
          <w:tcPr>
            <w:tcW w:w="1373"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5107.1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2018</w:t>
            </w:r>
          </w:p>
        </w:tc>
        <w:tc>
          <w:tcPr>
            <w:tcW w:w="1209"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2406.64</w:t>
            </w:r>
          </w:p>
        </w:tc>
        <w:tc>
          <w:tcPr>
            <w:tcW w:w="1258"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1999.06</w:t>
            </w:r>
          </w:p>
        </w:tc>
        <w:tc>
          <w:tcPr>
            <w:tcW w:w="1225"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137.04</w:t>
            </w:r>
          </w:p>
        </w:tc>
        <w:tc>
          <w:tcPr>
            <w:tcW w:w="1317"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270.54</w:t>
            </w:r>
          </w:p>
        </w:tc>
        <w:tc>
          <w:tcPr>
            <w:tcW w:w="1213"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11.24</w:t>
            </w:r>
          </w:p>
        </w:tc>
        <w:tc>
          <w:tcPr>
            <w:tcW w:w="1373"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4813.28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2019</w:t>
            </w:r>
          </w:p>
        </w:tc>
        <w:tc>
          <w:tcPr>
            <w:tcW w:w="1209"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2683.65</w:t>
            </w:r>
          </w:p>
        </w:tc>
        <w:tc>
          <w:tcPr>
            <w:tcW w:w="1258"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2000</w:t>
            </w:r>
          </w:p>
        </w:tc>
        <w:tc>
          <w:tcPr>
            <w:tcW w:w="1225"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136.72</w:t>
            </w:r>
          </w:p>
        </w:tc>
        <w:tc>
          <w:tcPr>
            <w:tcW w:w="1317"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546.93</w:t>
            </w:r>
          </w:p>
        </w:tc>
        <w:tc>
          <w:tcPr>
            <w:tcW w:w="1213"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20.38</w:t>
            </w:r>
          </w:p>
        </w:tc>
        <w:tc>
          <w:tcPr>
            <w:tcW w:w="1373"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5367.3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2020</w:t>
            </w:r>
          </w:p>
        </w:tc>
        <w:tc>
          <w:tcPr>
            <w:tcW w:w="1209"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2914.6</w:t>
            </w:r>
          </w:p>
        </w:tc>
        <w:tc>
          <w:tcPr>
            <w:tcW w:w="1258"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2100</w:t>
            </w:r>
          </w:p>
        </w:tc>
        <w:tc>
          <w:tcPr>
            <w:tcW w:w="1225"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p>
        </w:tc>
        <w:tc>
          <w:tcPr>
            <w:tcW w:w="1317"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814.6</w:t>
            </w:r>
          </w:p>
        </w:tc>
        <w:tc>
          <w:tcPr>
            <w:tcW w:w="1213"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27.95</w:t>
            </w:r>
          </w:p>
        </w:tc>
        <w:tc>
          <w:tcPr>
            <w:tcW w:w="1373"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2021（1-6月）</w:t>
            </w:r>
          </w:p>
        </w:tc>
        <w:tc>
          <w:tcPr>
            <w:tcW w:w="1209"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2810.39</w:t>
            </w:r>
          </w:p>
        </w:tc>
        <w:tc>
          <w:tcPr>
            <w:tcW w:w="1258"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2000</w:t>
            </w:r>
          </w:p>
        </w:tc>
        <w:tc>
          <w:tcPr>
            <w:tcW w:w="1225"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p>
        </w:tc>
        <w:tc>
          <w:tcPr>
            <w:tcW w:w="1317"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810.39</w:t>
            </w:r>
          </w:p>
        </w:tc>
        <w:tc>
          <w:tcPr>
            <w:tcW w:w="1213"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28.84</w:t>
            </w:r>
          </w:p>
        </w:tc>
        <w:tc>
          <w:tcPr>
            <w:tcW w:w="1373"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5620.78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合计</w:t>
            </w:r>
          </w:p>
        </w:tc>
        <w:tc>
          <w:tcPr>
            <w:tcW w:w="1209"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21935.46</w:t>
            </w:r>
          </w:p>
        </w:tc>
        <w:tc>
          <w:tcPr>
            <w:tcW w:w="1258"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17187.06</w:t>
            </w:r>
          </w:p>
        </w:tc>
        <w:tc>
          <w:tcPr>
            <w:tcW w:w="1225"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1873.76</w:t>
            </w:r>
          </w:p>
        </w:tc>
        <w:tc>
          <w:tcPr>
            <w:tcW w:w="1317"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2874.64</w:t>
            </w:r>
          </w:p>
        </w:tc>
        <w:tc>
          <w:tcPr>
            <w:tcW w:w="1213"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13.11</w:t>
            </w:r>
          </w:p>
        </w:tc>
        <w:tc>
          <w:tcPr>
            <w:tcW w:w="1373"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43870.93</w:t>
            </w:r>
          </w:p>
        </w:tc>
      </w:tr>
    </w:tbl>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auto"/>
          <w:sz w:val="24"/>
          <w:szCs w:val="24"/>
          <w:u w:val="none"/>
          <w:lang w:val="en-US" w:eastAsia="zh-CN"/>
        </w:rPr>
      </w:pPr>
    </w:p>
    <w:p>
      <w:pPr>
        <w:jc w:val="center"/>
        <w:outlineLvl w:val="9"/>
        <w:rPr>
          <w:rFonts w:hint="eastAsia" w:ascii="仿宋_GB2312" w:hAnsi="仿宋_GB2312" w:eastAsia="仿宋_GB2312" w:cs="仿宋_GB2312"/>
          <w:color w:val="auto"/>
          <w:sz w:val="24"/>
          <w:szCs w:val="24"/>
          <w:u w:val="none"/>
          <w:lang w:val="en-US" w:eastAsia="zh-CN"/>
        </w:rPr>
      </w:pPr>
    </w:p>
    <w:p>
      <w:pPr>
        <w:jc w:val="both"/>
        <w:outlineLvl w:val="9"/>
        <w:rPr>
          <w:rFonts w:hint="eastAsia" w:ascii="仿宋_GB2312" w:hAnsi="仿宋_GB2312" w:eastAsia="仿宋_GB2312" w:cs="仿宋_GB2312"/>
          <w:color w:val="auto"/>
          <w:sz w:val="24"/>
          <w:szCs w:val="24"/>
          <w:u w:val="none"/>
          <w:lang w:val="en-US" w:eastAsia="zh-CN"/>
        </w:rPr>
      </w:pPr>
    </w:p>
    <w:p>
      <w:pPr>
        <w:jc w:val="center"/>
        <w:outlineLvl w:val="9"/>
        <w:rPr>
          <w:rFonts w:hint="eastAsia" w:ascii="仿宋_GB2312" w:hAnsi="仿宋_GB2312" w:eastAsia="仿宋_GB2312" w:cs="仿宋_GB2312"/>
          <w:color w:val="auto"/>
          <w:sz w:val="24"/>
          <w:szCs w:val="24"/>
          <w:u w:val="none"/>
          <w:lang w:val="en-US" w:eastAsia="zh-CN"/>
        </w:rPr>
      </w:pPr>
    </w:p>
    <w:p>
      <w:pPr>
        <w:jc w:val="center"/>
        <w:outlineLvl w:val="9"/>
        <w:rPr>
          <w:rFonts w:hint="eastAsia" w:ascii="仿宋_GB2312" w:hAnsi="仿宋_GB2312" w:eastAsia="仿宋_GB2312" w:cs="仿宋_GB2312"/>
          <w:color w:val="auto"/>
          <w:sz w:val="24"/>
          <w:szCs w:val="24"/>
          <w:u w:val="none"/>
          <w:lang w:val="en-US" w:eastAsia="zh-CN"/>
        </w:rPr>
      </w:pPr>
    </w:p>
    <w:p>
      <w:pPr>
        <w:jc w:val="center"/>
        <w:outlineLvl w:val="9"/>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图2.1   社会募集资金增长情况（单位：万元）</w:t>
      </w:r>
    </w:p>
    <w:p>
      <w:pPr>
        <w:rPr>
          <w:rFonts w:hint="eastAsia" w:ascii="仿宋_GB2312" w:hAnsi="仿宋_GB2312" w:eastAsia="仿宋_GB2312" w:cs="仿宋_GB2312"/>
          <w:color w:val="auto"/>
          <w:u w:val="none"/>
          <w:lang w:val="en-US" w:eastAsia="zh-CN"/>
        </w:rPr>
      </w:pPr>
    </w:p>
    <w:p>
      <w:pPr>
        <w:outlineLvl w:val="9"/>
        <w:rPr>
          <w:rFonts w:hint="eastAsia" w:ascii="仿宋_GB2312" w:hAnsi="仿宋_GB2312" w:eastAsia="仿宋_GB2312" w:cs="仿宋_GB2312"/>
          <w:color w:val="auto"/>
          <w:u w:val="none"/>
          <w:lang w:val="en-US" w:eastAsia="zh-CN"/>
        </w:rPr>
      </w:pPr>
      <w:r>
        <w:rPr>
          <w:rFonts w:hint="eastAsia" w:ascii="仿宋_GB2312" w:hAnsi="仿宋_GB2312" w:eastAsia="仿宋_GB2312" w:cs="仿宋_GB2312"/>
          <w:color w:val="auto"/>
          <w:u w:val="none"/>
        </w:rPr>
        <w:drawing>
          <wp:anchor distT="0" distB="0" distL="114300" distR="114300" simplePos="0" relativeHeight="251659264" behindDoc="0" locked="0" layoutInCell="1" allowOverlap="1">
            <wp:simplePos x="0" y="0"/>
            <wp:positionH relativeFrom="column">
              <wp:posOffset>579755</wp:posOffset>
            </wp:positionH>
            <wp:positionV relativeFrom="paragraph">
              <wp:posOffset>40005</wp:posOffset>
            </wp:positionV>
            <wp:extent cx="4572000" cy="2743200"/>
            <wp:effectExtent l="4445" t="4445" r="10795" b="10795"/>
            <wp:wrapSquare wrapText="bothSides"/>
            <wp:docPr id="1028"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0"/>
        <w:jc w:val="both"/>
        <w:textAlignment w:val="auto"/>
        <w:outlineLvl w:val="9"/>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信息时代互联网的高速发展给慈善捐赠注入了新的活力，基金会将“精准救助+慈善+大数据”作为基金会扩大救助资金转型的重要抓手，联合公益宝开发建成了我市第一个困难群众急难众筹平台。2019年，重庆社会救助基金会困难群众急难众筹平台正式上线运营。凡是遭遇重大疾病、重大灾（伤）害的困难群众通过申请审核后免费为其提供众筹平台，多管齐下，多措并举，为遇难之人开展社会急难众筹，更好服务困难群众。2019年，实施困难群众急难众筹104例，筹得善款247万元，最高一人筹得50万元。</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0"/>
        <w:jc w:val="both"/>
        <w:textAlignment w:val="auto"/>
        <w:outlineLvl w:val="9"/>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b w:val="0"/>
          <w:bCs w:val="0"/>
          <w:color w:val="auto"/>
          <w:kern w:val="2"/>
          <w:sz w:val="32"/>
          <w:szCs w:val="32"/>
          <w:u w:val="none"/>
          <w:lang w:val="en-US" w:eastAsia="zh-CN" w:bidi="ar-SA"/>
        </w:rPr>
        <w:t>2、发展公益组织合作。</w:t>
      </w:r>
      <w:r>
        <w:rPr>
          <w:rFonts w:hint="default" w:ascii="Times New Roman" w:hAnsi="Times New Roman" w:eastAsia="方正仿宋_GBK" w:cs="Times New Roman"/>
          <w:color w:val="auto"/>
          <w:sz w:val="32"/>
          <w:szCs w:val="32"/>
          <w:u w:val="none"/>
          <w:lang w:val="en-US" w:eastAsia="zh-CN"/>
        </w:rPr>
        <w:t>利用基金会公信力强的优势，吸引多方力量参与救助工作，发展了海吉亚、咏寿堂、超有爱公益伙伴、张书兵等这样的爱心企业和人士，让各界爱心力量参与到社会救助工作中，扩大救助队伍。</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0"/>
        <w:jc w:val="both"/>
        <w:textAlignment w:val="auto"/>
        <w:outlineLvl w:val="9"/>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2019年，与民泰基金会进行了深度合作。和民泰基金会利用重庆困难群众急难众筹平台，为每个社区建立专项基金，积极帮助社区募集互助金，以解决困难群众急难之需。民泰基金会依托自身志愿服务机构在南岸区各社区建立了公益救助服务站，公益救助服务站站长由辖区内民望高、心肠热的知名人士和乡贤担任。全力配合基金会做好城市特殊困难群众急难救助对象的发现、甄别、上报和救助工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0"/>
        <w:jc w:val="both"/>
        <w:textAlignment w:val="auto"/>
        <w:outlineLvl w:val="9"/>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b w:val="0"/>
          <w:bCs w:val="0"/>
          <w:color w:val="auto"/>
          <w:kern w:val="2"/>
          <w:sz w:val="32"/>
          <w:szCs w:val="32"/>
          <w:u w:val="none"/>
          <w:lang w:val="en-US" w:eastAsia="zh-CN" w:bidi="ar-SA"/>
        </w:rPr>
        <w:t>3、扩大培养志愿团队。</w:t>
      </w:r>
      <w:r>
        <w:rPr>
          <w:rFonts w:hint="default" w:ascii="Times New Roman" w:hAnsi="Times New Roman" w:eastAsia="方正仿宋_GBK" w:cs="Times New Roman"/>
          <w:color w:val="auto"/>
          <w:sz w:val="32"/>
          <w:szCs w:val="32"/>
          <w:u w:val="none"/>
          <w:lang w:val="en-US" w:eastAsia="zh-CN"/>
        </w:rPr>
        <w:t>从2014年起基金会在区县和乡镇从事社会救助工作的人员中招募志愿者，通过建立志愿者队伍，充分利用区县志愿者工作平台，建立应急救助纵向到底的工作体系，逐步推行救助网格化。2015年全市招募了250名志愿者，2016年新增450名，其中，60%都来自基层通过志愿者，及时发现急难救助对象，将救助触角伸到村居社区，延伸到家家户户，尽力做到早发现、早救助，使救助服务更加及时精准。目前，70%的救助对象都是志愿者发现上报，基金会按照规章据实施救。2019年，基金会在原有的基础上扩大了社会救助志愿服务团队，志愿者人数达到2300余人，共分6个志愿服务队。其中，社会志愿服务队872人，阳光驿站志愿服务队400人，春和计划志愿服务队200人，医务社工志愿服务队40人，咏寿堂爱心志愿服务队700人，惠民济困志愿服务队109人。2019年共举办了5期志愿者培训班，培训志愿者800人。各个志愿者队伍在不同的服务领域承接不同的志愿服务工作，独挡一面，尽心竭力为广大困难群众服务。</w:t>
      </w:r>
      <w:bookmarkStart w:id="30" w:name="_Toc9017"/>
      <w:bookmarkStart w:id="31" w:name="_Toc12092"/>
    </w:p>
    <w:p>
      <w:pPr>
        <w:pStyle w:val="3"/>
        <w:keepNext w:val="0"/>
        <w:keepLines w:val="0"/>
        <w:pageBreakBefore w:val="0"/>
        <w:widowControl w:val="0"/>
        <w:kinsoku/>
        <w:wordWrap/>
        <w:overflowPunct/>
        <w:topLinePunct w:val="0"/>
        <w:autoSpaceDE w:val="0"/>
        <w:autoSpaceDN w:val="0"/>
        <w:bidi w:val="0"/>
        <w:adjustRightInd w:val="0"/>
        <w:snapToGrid/>
        <w:ind w:firstLine="562" w:firstLineChars="200"/>
        <w:textAlignment w:val="auto"/>
        <w:rPr>
          <w:rFonts w:hint="eastAsia" w:ascii="方正黑体_GBK" w:hAnsi="方正黑体_GBK" w:eastAsia="方正黑体_GBK" w:cs="方正黑体_GBK"/>
          <w:i w:val="0"/>
          <w:iCs/>
          <w:color w:val="auto"/>
          <w:u w:val="none"/>
          <w:lang w:val="en-US" w:eastAsia="zh-CN"/>
        </w:rPr>
      </w:pPr>
      <w:bookmarkStart w:id="32" w:name="_Toc2614"/>
      <w:r>
        <w:rPr>
          <w:rFonts w:hint="eastAsia" w:ascii="方正黑体_GBK" w:hAnsi="方正黑体_GBK" w:eastAsia="方正黑体_GBK" w:cs="方正黑体_GBK"/>
          <w:i w:val="0"/>
          <w:iCs/>
          <w:color w:val="auto"/>
          <w:u w:val="none"/>
          <w:lang w:val="en-US" w:eastAsia="zh-CN"/>
        </w:rPr>
        <w:t>三、健全管理制度</w:t>
      </w:r>
      <w:bookmarkEnd w:id="32"/>
    </w:p>
    <w:p>
      <w:pPr>
        <w:ind w:firstLine="640" w:firstLineChars="200"/>
        <w:rPr>
          <w:rFonts w:hint="eastAsia" w:ascii="方正仿宋_GBK" w:hAnsi="方正仿宋_GBK" w:eastAsia="方正仿宋_GBK" w:cs="方正仿宋_GBK"/>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2011年成立以来，基金会始终坚持以《慈善法》、《基金管理条例》为准绳，秉承“扶弱济困、救急助难”的宗旨，结合工作实际，不断健全规章制度。制定救助标准，简化申请审批程序，完善督察制度，健全了救助效果评价体系，按章施救，依规操作。</w:t>
      </w:r>
    </w:p>
    <w:p>
      <w:pPr>
        <w:pStyle w:val="4"/>
        <w:keepNext w:val="0"/>
        <w:keepLines w:val="0"/>
        <w:pageBreakBefore w:val="0"/>
        <w:widowControl w:val="0"/>
        <w:kinsoku/>
        <w:wordWrap/>
        <w:overflowPunct/>
        <w:topLinePunct w:val="0"/>
        <w:autoSpaceDE w:val="0"/>
        <w:autoSpaceDN w:val="0"/>
        <w:bidi w:val="0"/>
        <w:adjustRightInd w:val="0"/>
        <w:snapToGrid/>
        <w:ind w:firstLine="643" w:firstLineChars="200"/>
        <w:textAlignment w:val="auto"/>
        <w:rPr>
          <w:rFonts w:hint="eastAsia" w:ascii="方正仿宋_GBK" w:hAnsi="方正仿宋_GBK" w:eastAsia="方正仿宋_GBK" w:cs="方正仿宋_GBK"/>
          <w:color w:val="auto"/>
          <w:sz w:val="32"/>
          <w:szCs w:val="32"/>
          <w:u w:val="none"/>
          <w:lang w:val="en-US" w:eastAsia="zh-CN"/>
        </w:rPr>
      </w:pPr>
      <w:bookmarkStart w:id="33" w:name="_Toc3500"/>
      <w:r>
        <w:rPr>
          <w:rFonts w:hint="eastAsia" w:ascii="方正仿宋_GBK" w:hAnsi="方正仿宋_GBK" w:eastAsia="方正仿宋_GBK" w:cs="方正仿宋_GBK"/>
          <w:color w:val="auto"/>
          <w:sz w:val="32"/>
          <w:szCs w:val="32"/>
          <w:u w:val="none"/>
          <w:lang w:val="en-US" w:eastAsia="zh-CN"/>
        </w:rPr>
        <w:t>（一）</w:t>
      </w:r>
      <w:bookmarkEnd w:id="33"/>
      <w:r>
        <w:rPr>
          <w:rFonts w:hint="eastAsia" w:ascii="方正仿宋_GBK" w:hAnsi="方正仿宋_GBK" w:eastAsia="方正仿宋_GBK" w:cs="方正仿宋_GBK"/>
          <w:color w:val="auto"/>
          <w:sz w:val="32"/>
          <w:szCs w:val="32"/>
          <w:u w:val="none"/>
          <w:lang w:val="en-US" w:eastAsia="zh-CN"/>
        </w:rPr>
        <w:t>加强制度建设</w:t>
      </w:r>
    </w:p>
    <w:p>
      <w:pPr>
        <w:ind w:firstLine="640" w:firstLineChars="200"/>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为切实做好困难群众的急难救助，基金会详细制定了22项规章制度。在此基础上，为保证救助质量两次对《重庆社会救助基金会基金使用管理办法》、《重庆社会救助基金管理使用实施细则》、《重庆社会救助基金会申请审批规程》 等具体规章制度，进行了修订完善，进一步明确目标任务，规范救助范围和对象。</w:t>
      </w:r>
    </w:p>
    <w:p>
      <w:pPr>
        <w:ind w:firstLine="640" w:firstLineChars="200"/>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同时，切实规范救助程序。在救助申请环节，全面建立了市、区县、镇街和村居四位一体，四级联动的工作机制。评审工作制定了“10个流程18步工作法”，在网上对救助情况按月进行公示，公开接受社会监督。实行入户调查核实、定期回访，事后督察等多项举措，进行跟踪问效，从程序上保证救助公平，确保救助质量。一路探索行来，基本形成了从市到村，分级负责，分层救助的应急救助体系，基本实现了困有所助、难有所帮，一人获救，全家受益，一方平安的目标。</w:t>
      </w:r>
    </w:p>
    <w:p>
      <w:pPr>
        <w:ind w:firstLine="640" w:firstLineChars="200"/>
        <w:rPr>
          <w:rFonts w:hint="default" w:ascii="Times New Roman" w:hAnsi="Times New Roman" w:eastAsia="方正仿宋_GBK" w:cs="Times New Roman"/>
          <w:b w:val="0"/>
          <w:color w:val="auto"/>
          <w:kern w:val="2"/>
          <w:sz w:val="32"/>
          <w:szCs w:val="32"/>
          <w:u w:val="none"/>
          <w:lang w:val="en-US" w:eastAsia="zh-CN" w:bidi="ar-SA"/>
        </w:rPr>
      </w:pPr>
      <w:r>
        <w:rPr>
          <w:rFonts w:hint="default" w:ascii="Times New Roman" w:hAnsi="Times New Roman" w:eastAsia="方正仿宋_GBK" w:cs="Times New Roman"/>
          <w:color w:val="auto"/>
          <w:sz w:val="32"/>
          <w:szCs w:val="32"/>
          <w:u w:val="none"/>
          <w:lang w:val="en-US" w:eastAsia="zh-CN"/>
        </w:rPr>
        <w:t>2014年，中国社会救助政策体系正式确立，并进入定型发展的新阶段</w:t>
      </w:r>
      <w:r>
        <w:rPr>
          <w:rStyle w:val="20"/>
          <w:rFonts w:hint="default" w:ascii="Times New Roman" w:hAnsi="Times New Roman" w:eastAsia="方正仿宋_GBK" w:cs="Times New Roman"/>
          <w:color w:val="auto"/>
          <w:sz w:val="32"/>
          <w:szCs w:val="32"/>
          <w:u w:val="none"/>
          <w:lang w:val="en-US" w:eastAsia="zh-CN"/>
        </w:rPr>
        <w:footnoteReference w:id="1"/>
      </w:r>
      <w:r>
        <w:rPr>
          <w:rFonts w:hint="default" w:ascii="Times New Roman" w:hAnsi="Times New Roman" w:eastAsia="方正仿宋_GBK" w:cs="Times New Roman"/>
          <w:color w:val="auto"/>
          <w:sz w:val="32"/>
          <w:szCs w:val="32"/>
          <w:u w:val="none"/>
          <w:lang w:val="en-US" w:eastAsia="zh-CN"/>
        </w:rPr>
        <w:t>。国务院颁布了《社会救助暂行办法》（国务院令第649号），明确了8+1”社会救助政策体系</w:t>
      </w:r>
      <w:r>
        <w:rPr>
          <w:rStyle w:val="20"/>
          <w:rFonts w:hint="default" w:ascii="Times New Roman" w:hAnsi="Times New Roman" w:eastAsia="方正仿宋_GBK" w:cs="Times New Roman"/>
          <w:color w:val="auto"/>
          <w:sz w:val="32"/>
          <w:szCs w:val="32"/>
          <w:u w:val="none"/>
          <w:lang w:val="en-US" w:eastAsia="zh-CN"/>
        </w:rPr>
        <w:footnoteReference w:id="2"/>
      </w:r>
      <w:r>
        <w:rPr>
          <w:rFonts w:hint="default" w:ascii="Times New Roman" w:hAnsi="Times New Roman" w:eastAsia="方正仿宋_GBK" w:cs="Times New Roman"/>
          <w:color w:val="auto"/>
          <w:sz w:val="32"/>
          <w:szCs w:val="32"/>
          <w:u w:val="none"/>
          <w:lang w:val="en-US" w:eastAsia="zh-CN"/>
        </w:rPr>
        <w:t>。配合国家社会救助政策体系，基金会进一步明确了自身在社会救助体系当中的定位。作为参与救助的社会力量，基金会全力配合民政部门的社会救助工作，努力完善以政府主导，社会参与，财政出资，基金运作的应急救助模式，专门承接政府转介服务，对困难群众实施急难救助。</w:t>
      </w:r>
    </w:p>
    <w:p>
      <w:pPr>
        <w:pStyle w:val="2"/>
        <w:rPr>
          <w:rFonts w:hint="default" w:ascii="Times New Roman" w:hAnsi="Times New Roman" w:eastAsia="方正仿宋_GBK" w:cs="Times New Roman"/>
          <w:b w:val="0"/>
          <w:bCs w:val="0"/>
          <w:color w:val="auto"/>
          <w:kern w:val="2"/>
          <w:sz w:val="32"/>
          <w:szCs w:val="32"/>
          <w:u w:val="none"/>
          <w:lang w:val="en-US" w:eastAsia="zh-CN" w:bidi="ar-SA"/>
        </w:rPr>
      </w:pPr>
      <w:r>
        <w:rPr>
          <w:rFonts w:hint="default" w:ascii="Times New Roman" w:hAnsi="Times New Roman" w:eastAsia="方正仿宋_GBK" w:cs="Times New Roman"/>
          <w:b w:val="0"/>
          <w:color w:val="auto"/>
          <w:kern w:val="2"/>
          <w:sz w:val="32"/>
          <w:szCs w:val="32"/>
          <w:u w:val="none"/>
          <w:lang w:val="en-US" w:eastAsia="zh-CN" w:bidi="ar-SA"/>
        </w:rPr>
        <w:t xml:space="preserve">    </w:t>
      </w:r>
      <w:bookmarkStart w:id="34" w:name="_Toc22458"/>
      <w:r>
        <w:rPr>
          <w:rFonts w:hint="default" w:ascii="Times New Roman" w:hAnsi="Times New Roman" w:eastAsia="方正仿宋_GBK" w:cs="Times New Roman"/>
          <w:b w:val="0"/>
          <w:color w:val="auto"/>
          <w:kern w:val="2"/>
          <w:sz w:val="32"/>
          <w:szCs w:val="32"/>
          <w:u w:val="none"/>
          <w:lang w:val="en-US" w:eastAsia="zh-CN" w:bidi="ar-SA"/>
        </w:rPr>
        <w:t>10年来，基金会在党的领导下，在救助实践中摸索出一套切实可行的管理制度与工作方法，对后来陆续成立的兄弟单位起到了示范引领的作用。</w:t>
      </w:r>
      <w:r>
        <w:rPr>
          <w:rFonts w:hint="default" w:ascii="Times New Roman" w:hAnsi="Times New Roman" w:eastAsia="方正仿宋_GBK" w:cs="Times New Roman"/>
          <w:b w:val="0"/>
          <w:bCs w:val="0"/>
          <w:color w:val="auto"/>
          <w:kern w:val="2"/>
          <w:sz w:val="32"/>
          <w:szCs w:val="32"/>
          <w:u w:val="none"/>
          <w:lang w:val="en-US" w:eastAsia="zh-CN" w:bidi="ar-SA"/>
        </w:rPr>
        <w:t>共有32</w:t>
      </w:r>
      <w:r>
        <w:rPr>
          <w:rFonts w:hint="default" w:ascii="Times New Roman" w:hAnsi="Times New Roman" w:eastAsia="方正仿宋_GBK" w:cs="Times New Roman"/>
          <w:b w:val="0"/>
          <w:bCs w:val="0"/>
          <w:color w:val="auto"/>
          <w:sz w:val="32"/>
          <w:szCs w:val="32"/>
          <w:u w:val="none"/>
          <w:lang w:val="en-US" w:eastAsia="zh-CN"/>
        </w:rPr>
        <w:t>个单位，160人次前来交流学习。</w:t>
      </w:r>
      <w:bookmarkEnd w:id="34"/>
    </w:p>
    <w:p>
      <w:pPr>
        <w:pStyle w:val="4"/>
        <w:keepNext w:val="0"/>
        <w:keepLines w:val="0"/>
        <w:pageBreakBefore w:val="0"/>
        <w:widowControl w:val="0"/>
        <w:kinsoku/>
        <w:wordWrap/>
        <w:overflowPunct/>
        <w:topLinePunct w:val="0"/>
        <w:autoSpaceDE w:val="0"/>
        <w:autoSpaceDN w:val="0"/>
        <w:bidi w:val="0"/>
        <w:adjustRightInd w:val="0"/>
        <w:snapToGrid/>
        <w:ind w:firstLine="643" w:firstLineChars="200"/>
        <w:textAlignment w:val="auto"/>
        <w:rPr>
          <w:rFonts w:hint="default" w:ascii="Times New Roman" w:hAnsi="Times New Roman" w:eastAsia="方正仿宋_GBK" w:cs="Times New Roman"/>
          <w:color w:val="auto"/>
          <w:sz w:val="32"/>
          <w:szCs w:val="32"/>
          <w:u w:val="none"/>
          <w:lang w:val="en-US" w:eastAsia="zh-CN"/>
        </w:rPr>
      </w:pPr>
      <w:bookmarkStart w:id="35" w:name="_Toc19440"/>
      <w:r>
        <w:rPr>
          <w:rFonts w:hint="default" w:ascii="Times New Roman" w:hAnsi="Times New Roman" w:eastAsia="方正仿宋_GBK" w:cs="Times New Roman"/>
          <w:color w:val="auto"/>
          <w:sz w:val="32"/>
          <w:szCs w:val="32"/>
          <w:u w:val="none"/>
          <w:lang w:val="en-US" w:eastAsia="zh-CN"/>
        </w:rPr>
        <w:t>（二）端正工作作风</w:t>
      </w:r>
      <w:bookmarkEnd w:id="35"/>
    </w:p>
    <w:p>
      <w:pPr>
        <w:ind w:firstLine="640" w:firstLineChars="200"/>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基金会提出了“建设一流队伍，创造一流业绩”的工作目标，重视队伍建设，加强业务培训，提高综合能力，竭尽所能为困难群众排忧解难。</w:t>
      </w:r>
    </w:p>
    <w:p>
      <w:pPr>
        <w:ind w:firstLine="640" w:firstLineChars="200"/>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在基金会内部，每一位工作人员原则都要具体负责一个方面的工作，调查、初审、打款、督察分别有人负责。凡是当月救助的，次月都要逐一打电话追踪回访，核实救助金到位及使用情况。10年来，多次接受包括审计署重庆专员办、财政部重庆专员办、市审计局和专业审计师事务所在内的工作审计，全部真实准确，无一异议。</w:t>
      </w:r>
    </w:p>
    <w:p>
      <w:pPr>
        <w:ind w:firstLine="640" w:firstLineChars="200"/>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10年来，我们走访了全市 38 个区县和 2 个经开区的 1032个乡镇11215个村居，每年行程达150余万公里，入户16340多人次，入户率 78%。对我们基金会每一位工作人员来讲，每走访核查一次，都受一次现场教育，一次心灵净化，困难群众的无助与期盼坚定了我们勇往直前的意志，他们获救后的感 动与喜悦又增强了我们的执着与坚守。面对大家我们可以问心无愧地说，全市最远的路我们走过，最困难的家庭我们到过，最需要帮助的人我们救过。我们不仅踏遍了重庆的山山水水，走过村村户户，而且结合对口支援，到过千里之外的雪域高原，对藏族同胞实施异地救助，到过中原腹地，对在校学生实施现场救助，一次次一件件将市委、市政府和全市的人民对困难群众的关心关照落到实处，送到手头，让困难群众在绝望之中看 到了希望，在无助之时体会到了人间真情。</w:t>
      </w:r>
    </w:p>
    <w:p>
      <w:pPr>
        <w:rPr>
          <w:rFonts w:hint="default" w:ascii="Times New Roman" w:hAnsi="Times New Roman" w:eastAsia="方正仿宋_GBK" w:cs="Times New Roman"/>
          <w:color w:val="auto"/>
          <w:u w:val="none"/>
          <w:lang w:val="en-US" w:eastAsia="zh-CN"/>
        </w:rPr>
      </w:pPr>
      <w:r>
        <w:rPr>
          <w:rFonts w:hint="default" w:ascii="Times New Roman" w:hAnsi="Times New Roman" w:eastAsia="方正仿宋_GBK" w:cs="Times New Roman"/>
          <w:b w:val="0"/>
          <w:bCs w:val="0"/>
          <w:color w:val="auto"/>
          <w:sz w:val="44"/>
          <w:szCs w:val="44"/>
          <w:u w:val="none"/>
          <w:lang w:val="en-US" w:eastAsia="zh-CN"/>
        </w:rPr>
        <w:br w:type="page"/>
      </w:r>
    </w:p>
    <w:p>
      <w:pPr>
        <w:pStyle w:val="2"/>
        <w:bidi w:val="0"/>
        <w:jc w:val="center"/>
        <w:rPr>
          <w:rFonts w:hint="eastAsia" w:ascii="方正小标宋_GBK" w:hAnsi="方正小标宋_GBK" w:eastAsia="方正小标宋_GBK" w:cs="方正小标宋_GBK"/>
          <w:color w:val="auto"/>
          <w:u w:val="none"/>
          <w:lang w:val="en-US" w:eastAsia="zh-CN"/>
        </w:rPr>
      </w:pPr>
      <w:bookmarkStart w:id="36" w:name="_Toc18719"/>
      <w:r>
        <w:rPr>
          <w:rFonts w:hint="eastAsia" w:ascii="方正小标宋_GBK" w:hAnsi="方正小标宋_GBK" w:eastAsia="方正小标宋_GBK" w:cs="方正小标宋_GBK"/>
          <w:color w:val="auto"/>
          <w:u w:val="none"/>
          <w:lang w:val="en-US" w:eastAsia="zh-CN"/>
        </w:rPr>
        <w:t>第三章 “十四五”期间救助服务展望</w:t>
      </w:r>
      <w:bookmarkEnd w:id="30"/>
      <w:bookmarkEnd w:id="31"/>
      <w:bookmarkEnd w:id="36"/>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u w:val="none"/>
          <w:lang w:val="en-US" w:eastAsia="zh-CN"/>
        </w:rPr>
      </w:pPr>
      <w:bookmarkStart w:id="37" w:name="_Toc1141"/>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0"/>
        <w:jc w:val="both"/>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十四五”时期既是我国开启全面建设社会主义现代化国家新征程向第二个百年奋斗目标进军的起始之年，也是巩固拓展脱贫攻坚成果实现乡村振兴的关键时期。基金会将以习近平新时代中国特色社会主义思想为指导，深入贯彻《“十四五”民政事业发展规划》和《重庆市民政事业发展“十四五”规划》（待发布），紧紧围绕保障和改善民生，积极发挥社会组织在第三次分配中的重要作用，协助政府坚决兜牢基本民生底线，实现巩固拓展脱贫攻坚兜底保障成果同乡村振兴有效衔接民生福祉得到大幅提升。</w:t>
      </w:r>
      <w:bookmarkStart w:id="38" w:name="_Toc10682"/>
    </w:p>
    <w:p>
      <w:pPr>
        <w:pStyle w:val="3"/>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i w:val="0"/>
          <w:iCs/>
          <w:color w:val="auto"/>
          <w:u w:val="none"/>
          <w:lang w:val="en-US" w:eastAsia="zh-CN"/>
        </w:rPr>
      </w:pPr>
      <w:bookmarkStart w:id="39" w:name="_Toc4430"/>
      <w:r>
        <w:rPr>
          <w:rFonts w:hint="eastAsia"/>
          <w:i w:val="0"/>
          <w:iCs/>
          <w:color w:val="auto"/>
          <w:u w:val="none"/>
          <w:lang w:val="en-US" w:eastAsia="zh-CN"/>
        </w:rPr>
        <w:t>一、优化救助形式，持续增强救助精准性</w:t>
      </w:r>
      <w:bookmarkEnd w:id="37"/>
      <w:bookmarkEnd w:id="38"/>
      <w:bookmarkEnd w:id="39"/>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0"/>
        <w:jc w:val="both"/>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我国经过数十年的艰苦奋战，于2020年宣布全面建成小康社会。脱贫攻坚期内我国采取产业扶贫、金融扶贫、生态扶贫、易地扶贫搬迁、教育扶贫、健康扶贫、对口帮扶、社保兜底等一系列举措，以“两不愁三保障”为底线目标，实现了现行标准下农村贫困人口的全部脱贫、贫困县的全部摘帽，解决了绝对贫困问题。但也应该看到，虽然绝对贫困问题已经解决，但反贫困的任务依然重大，防止脱贫人员返贫是其中的重中之重。我国依然处在社会主义初级阶段，在疫情和世界经济下行压力、我国经济社会转型的多重影响下，实现第二个百年奋斗目标和全体人民共同富裕任重而道远。困难群众越来越难以跟上时代发展的脚步，传统的救助体系也面临新的困境，亟需完善。</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0"/>
        <w:jc w:val="both"/>
        <w:textAlignment w:val="auto"/>
        <w:outlineLvl w:val="9"/>
        <w:rPr>
          <w:rFonts w:hint="eastAsia" w:ascii="方正仿宋_GBK" w:hAnsi="方正仿宋_GBK" w:eastAsia="方正仿宋_GBK" w:cs="方正仿宋_GBK"/>
          <w:b w:val="0"/>
          <w:bCs/>
          <w:color w:val="auto"/>
          <w:sz w:val="32"/>
          <w:szCs w:val="32"/>
          <w:u w:val="none"/>
          <w:lang w:val="en-US" w:eastAsia="zh-CN"/>
        </w:rPr>
      </w:pPr>
      <w:r>
        <w:rPr>
          <w:rFonts w:hint="eastAsia" w:ascii="方正仿宋_GBK" w:hAnsi="方正仿宋_GBK" w:eastAsia="方正仿宋_GBK" w:cs="方正仿宋_GBK"/>
          <w:b/>
          <w:bCs/>
          <w:color w:val="auto"/>
          <w:kern w:val="2"/>
          <w:sz w:val="32"/>
          <w:szCs w:val="32"/>
          <w:u w:val="none"/>
          <w:lang w:val="en-US" w:eastAsia="zh-CN" w:bidi="ar-SA"/>
        </w:rPr>
        <w:t>（一）政府切实加大服务转介的力度。</w:t>
      </w:r>
      <w:r>
        <w:rPr>
          <w:rFonts w:hint="eastAsia" w:ascii="方正仿宋_GBK" w:hAnsi="方正仿宋_GBK" w:eastAsia="方正仿宋_GBK" w:cs="方正仿宋_GBK"/>
          <w:b w:val="0"/>
          <w:color w:val="auto"/>
          <w:kern w:val="2"/>
          <w:sz w:val="32"/>
          <w:szCs w:val="32"/>
          <w:u w:val="none"/>
          <w:lang w:val="en-US" w:eastAsia="zh-CN" w:bidi="ar-SA"/>
        </w:rPr>
        <w:t>在</w:t>
      </w:r>
      <w:r>
        <w:rPr>
          <w:rFonts w:hint="eastAsia" w:ascii="方正仿宋_GBK" w:hAnsi="方正仿宋_GBK" w:eastAsia="方正仿宋_GBK" w:cs="方正仿宋_GBK"/>
          <w:b w:val="0"/>
          <w:bCs/>
          <w:color w:val="auto"/>
          <w:sz w:val="32"/>
          <w:szCs w:val="32"/>
          <w:u w:val="none"/>
          <w:lang w:val="en-US" w:eastAsia="zh-CN"/>
        </w:rPr>
        <w:t>相对贫困的视域下，政府部门应发挥规则制定者的角色，建立完善政府主导，社会参与的多元救助服务体系。以提高社会救助的公平性和社会效益为改革方向，建立主动发现机制，充分完善对象认定和信息核对机制，优化服务递送和质量监督机制，将部分救助职能转移到社会组织，广泛动员全社会参与救助服务，全力保证兜底保障功能有效发挥，城乡困难群众都能得到及时救助。</w:t>
      </w:r>
      <w:bookmarkStart w:id="40" w:name="_Toc12150"/>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0"/>
        <w:jc w:val="both"/>
        <w:textAlignment w:val="auto"/>
        <w:outlineLvl w:val="9"/>
        <w:rPr>
          <w:rFonts w:hint="eastAsia" w:ascii="方正仿宋_GBK" w:hAnsi="方正仿宋_GBK" w:eastAsia="方正仿宋_GBK" w:cs="方正仿宋_GBK"/>
          <w:b w:val="0"/>
          <w:bCs/>
          <w:color w:val="auto"/>
          <w:kern w:val="2"/>
          <w:sz w:val="32"/>
          <w:szCs w:val="32"/>
          <w:u w:val="none"/>
          <w:lang w:val="en-US" w:eastAsia="zh-CN" w:bidi="ar-SA"/>
        </w:rPr>
      </w:pPr>
      <w:r>
        <w:rPr>
          <w:rFonts w:hint="eastAsia" w:ascii="方正仿宋_GBK" w:hAnsi="方正仿宋_GBK" w:eastAsia="方正仿宋_GBK" w:cs="方正仿宋_GBK"/>
          <w:b/>
          <w:bCs/>
          <w:color w:val="auto"/>
          <w:kern w:val="2"/>
          <w:sz w:val="32"/>
          <w:szCs w:val="32"/>
          <w:u w:val="none"/>
          <w:lang w:val="en-US" w:eastAsia="zh-CN" w:bidi="ar-SA"/>
        </w:rPr>
        <w:t>（二）多渠道筹集救助资金。</w:t>
      </w:r>
      <w:r>
        <w:rPr>
          <w:rFonts w:hint="eastAsia" w:ascii="方正仿宋_GBK" w:hAnsi="方正仿宋_GBK" w:eastAsia="方正仿宋_GBK" w:cs="方正仿宋_GBK"/>
          <w:b w:val="0"/>
          <w:bCs/>
          <w:color w:val="auto"/>
          <w:kern w:val="2"/>
          <w:sz w:val="32"/>
          <w:szCs w:val="32"/>
          <w:u w:val="none"/>
          <w:lang w:val="en-US" w:eastAsia="zh-CN" w:bidi="ar-SA"/>
        </w:rPr>
        <w:t>完善财政资助、福彩支持、社会募集等多渠道的救助资金筹集机制，充实社会救助基金；引导相关企业建立完善社会责任体系，参与到社会建设尤其是急难救助之中，通过扩大社会捐赠、开展急难众筹设立专项救助等形式，助力公益事业、清朗社会风尚。</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0"/>
        <w:jc w:val="both"/>
        <w:textAlignment w:val="auto"/>
        <w:outlineLvl w:val="9"/>
        <w:rPr>
          <w:rFonts w:hint="eastAsia" w:ascii="方正仿宋_GBK" w:hAnsi="方正仿宋_GBK" w:eastAsia="方正仿宋_GBK" w:cs="方正仿宋_GBK"/>
          <w:b w:val="0"/>
          <w:bCs/>
          <w:color w:val="auto"/>
          <w:kern w:val="2"/>
          <w:sz w:val="32"/>
          <w:szCs w:val="32"/>
          <w:u w:val="none"/>
          <w:lang w:val="en-US" w:eastAsia="zh-CN" w:bidi="ar-SA"/>
        </w:rPr>
      </w:pPr>
      <w:r>
        <w:rPr>
          <w:rFonts w:hint="eastAsia" w:ascii="方正仿宋_GBK" w:hAnsi="方正仿宋_GBK" w:eastAsia="方正仿宋_GBK" w:cs="方正仿宋_GBK"/>
          <w:b/>
          <w:bCs/>
          <w:color w:val="auto"/>
          <w:kern w:val="2"/>
          <w:sz w:val="32"/>
          <w:szCs w:val="32"/>
          <w:u w:val="none"/>
          <w:lang w:val="en-US" w:eastAsia="zh-CN" w:bidi="ar-SA"/>
        </w:rPr>
        <w:t>（三）大力发展社会救助服务类组织。</w:t>
      </w:r>
      <w:r>
        <w:rPr>
          <w:rFonts w:hint="eastAsia" w:ascii="方正仿宋_GBK" w:hAnsi="方正仿宋_GBK" w:eastAsia="方正仿宋_GBK" w:cs="方正仿宋_GBK"/>
          <w:b w:val="0"/>
          <w:bCs/>
          <w:color w:val="auto"/>
          <w:kern w:val="2"/>
          <w:sz w:val="32"/>
          <w:szCs w:val="32"/>
          <w:u w:val="none"/>
          <w:lang w:val="en-US" w:eastAsia="zh-CN" w:bidi="ar-SA"/>
        </w:rPr>
        <w:t>紧紧围绕社会救助改革创新，夯实社会救助服务体系中“社会力量参与”的补充功能，引导成立或者转型一批社会组织成为专业型社会救助服务机构，扩大社会救助服务的力量。</w:t>
      </w:r>
      <w:bookmarkStart w:id="41" w:name="_Toc16447"/>
    </w:p>
    <w:p>
      <w:pPr>
        <w:pStyle w:val="3"/>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方正黑体_GBK" w:hAnsi="方正黑体_GBK" w:eastAsia="方正黑体_GBK" w:cs="方正黑体_GBK"/>
          <w:b w:val="0"/>
          <w:bCs/>
          <w:i w:val="0"/>
          <w:iCs/>
          <w:color w:val="auto"/>
          <w:u w:val="none"/>
          <w:lang w:val="en-US" w:eastAsia="zh-CN"/>
        </w:rPr>
      </w:pPr>
      <w:bookmarkStart w:id="42" w:name="_Toc20990"/>
      <w:r>
        <w:rPr>
          <w:rFonts w:hint="eastAsia" w:ascii="方正黑体_GBK" w:hAnsi="方正黑体_GBK" w:eastAsia="方正黑体_GBK" w:cs="方正黑体_GBK"/>
          <w:b w:val="0"/>
          <w:bCs/>
          <w:i w:val="0"/>
          <w:iCs/>
          <w:color w:val="auto"/>
          <w:u w:val="none"/>
          <w:lang w:val="en-US" w:eastAsia="zh-CN"/>
        </w:rPr>
        <w:t>二、优化项目结构，持续加强发展</w:t>
      </w:r>
      <w:bookmarkEnd w:id="40"/>
      <w:bookmarkEnd w:id="41"/>
      <w:r>
        <w:rPr>
          <w:rFonts w:hint="eastAsia" w:ascii="方正黑体_GBK" w:hAnsi="方正黑体_GBK" w:eastAsia="方正黑体_GBK" w:cs="方正黑体_GBK"/>
          <w:b w:val="0"/>
          <w:bCs/>
          <w:i w:val="0"/>
          <w:iCs/>
          <w:color w:val="auto"/>
          <w:u w:val="none"/>
          <w:lang w:val="en-US" w:eastAsia="zh-CN"/>
        </w:rPr>
        <w:t>能力</w:t>
      </w:r>
      <w:bookmarkEnd w:id="42"/>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0"/>
        <w:jc w:val="both"/>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着眼党的第二个百年奋斗目标，围绕实现共同富裕。按照中共中央办公厅、国务院办公厅印发《关于改革完善社会救助制度的意见》要求，充分发挥社会组织的补充作用，承担应尽职责，构建综合救助格局，打造多层次救助体系。</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0"/>
        <w:jc w:val="both"/>
        <w:textAlignment w:val="auto"/>
        <w:outlineLvl w:val="9"/>
        <w:rPr>
          <w:rFonts w:hint="default"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一是提质升档抓好优势项目。在乡村振兴工作中，围绕“医、住、教”突出抓急难救助、扶智助学、温馨援建和急难众筹。在城市特殊困难群众直接救助工作中，积极推进一米阳光、春和计划心理服务工作。在此基础上，积极依托政府智慧社区建设平台，构建市、区（县）、镇（街）、村（居）四位一体的救助工作体系，变被动为主动，实现依申请救助到主动施救的转变，切实提高救助效益。</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0"/>
        <w:jc w:val="both"/>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二是开拓创新着力打造服务类社会救助项目。引导社会工作、心理学等专业力量参与社会救助，为救助对象提供心理疏导、资源链接、能力提升、社会融入等服务。</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560" w:firstLineChars="200"/>
        <w:textAlignment w:val="auto"/>
        <w:outlineLvl w:val="1"/>
        <w:rPr>
          <w:rFonts w:hint="default"/>
          <w:color w:val="auto"/>
          <w:highlight w:val="none"/>
          <w:u w:val="none"/>
          <w:lang w:val="en-US" w:eastAsia="zh-CN"/>
        </w:rPr>
      </w:pPr>
      <w:bookmarkStart w:id="43" w:name="_Toc19400"/>
      <w:r>
        <w:rPr>
          <w:rFonts w:hint="eastAsia" w:ascii="方正黑体_GBK" w:hAnsi="方正黑体_GBK" w:eastAsia="方正黑体_GBK" w:cs="方正黑体_GBK"/>
          <w:b w:val="0"/>
          <w:bCs/>
          <w:i w:val="0"/>
          <w:iCs/>
          <w:color w:val="auto"/>
          <w:highlight w:val="none"/>
          <w:u w:val="none"/>
          <w:lang w:val="en-US" w:eastAsia="zh-CN"/>
        </w:rPr>
        <w:t>三、深度融合，提升救助服务精准度</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0"/>
        <w:jc w:val="both"/>
        <w:textAlignment w:val="auto"/>
        <w:outlineLvl w:val="9"/>
        <w:rPr>
          <w:rFonts w:hint="eastAsia" w:ascii="方正仿宋_GBK" w:hAnsi="方正仿宋_GBK" w:eastAsia="方正仿宋_GBK" w:cs="方正仿宋_GBK"/>
          <w:b w:val="0"/>
          <w:bCs w:val="0"/>
          <w:color w:val="auto"/>
          <w:kern w:val="2"/>
          <w:sz w:val="32"/>
          <w:szCs w:val="32"/>
          <w:u w:val="none"/>
          <w:lang w:val="en-US" w:eastAsia="zh-CN" w:bidi="ar-SA"/>
        </w:rPr>
      </w:pPr>
      <w:r>
        <w:rPr>
          <w:rFonts w:hint="eastAsia" w:ascii="方正仿宋_GBK" w:hAnsi="方正仿宋_GBK" w:eastAsia="方正仿宋_GBK" w:cs="方正仿宋_GBK"/>
          <w:b w:val="0"/>
          <w:bCs w:val="0"/>
          <w:color w:val="auto"/>
          <w:kern w:val="2"/>
          <w:sz w:val="32"/>
          <w:szCs w:val="32"/>
          <w:u w:val="none"/>
          <w:lang w:val="en-US" w:eastAsia="zh-CN" w:bidi="ar-SA"/>
        </w:rPr>
        <w:t>（一）深化政府转介服务。提炼政府转介服务经验，深化救急助难的方式方法，加强与政府服务体系的合作，为困难群众提供及时、高效、专业的救助服务。</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0"/>
        <w:jc w:val="both"/>
        <w:textAlignment w:val="auto"/>
        <w:outlineLvl w:val="9"/>
        <w:rPr>
          <w:rFonts w:hint="default" w:ascii="方正仿宋_GBK" w:hAnsi="方正仿宋_GBK" w:eastAsia="方正仿宋_GBK" w:cs="方正仿宋_GBK"/>
          <w:b w:val="0"/>
          <w:bCs w:val="0"/>
          <w:color w:val="auto"/>
          <w:kern w:val="2"/>
          <w:sz w:val="32"/>
          <w:szCs w:val="32"/>
          <w:u w:val="none"/>
          <w:lang w:val="en-US" w:eastAsia="zh-CN" w:bidi="ar-SA"/>
        </w:rPr>
      </w:pPr>
      <w:r>
        <w:rPr>
          <w:rFonts w:hint="eastAsia" w:ascii="方正仿宋_GBK" w:hAnsi="方正仿宋_GBK" w:eastAsia="方正仿宋_GBK" w:cs="方正仿宋_GBK"/>
          <w:b w:val="0"/>
          <w:bCs w:val="0"/>
          <w:color w:val="auto"/>
          <w:kern w:val="2"/>
          <w:sz w:val="32"/>
          <w:szCs w:val="32"/>
          <w:u w:val="none"/>
          <w:lang w:val="en-US" w:eastAsia="zh-CN" w:bidi="ar-SA"/>
        </w:rPr>
        <w:t>（二）细化志愿服务。进一步完善市、区（县）、镇（街）、村（居）纵向到底的志愿服务体系，着力培育和壮大区（县）社会救助志愿队伍，夯实主动发现的基础。要以医院、社会等市场为主体，建立和完善医疗众筹志愿服务队伍，引导和帮助困难群众在急难之时积极参与急难众筹。要建立和完善城市社区困难群众直接救助社区志愿服务队，充实社区救助工作力量，增强“一米阳光”生命力。要围绕城市春和计划心理服务，培养和壮大本土心理工作人才，强化专业人做专业事，营造景明春和，世界大同的和谐环境。</w:t>
      </w:r>
    </w:p>
    <w:p>
      <w:pPr>
        <w:pStyle w:val="3"/>
        <w:keepNext w:val="0"/>
        <w:keepLines w:val="0"/>
        <w:pageBreakBefore w:val="0"/>
        <w:widowControl w:val="0"/>
        <w:kinsoku/>
        <w:wordWrap/>
        <w:overflowPunct/>
        <w:topLinePunct w:val="0"/>
        <w:autoSpaceDE w:val="0"/>
        <w:autoSpaceDN w:val="0"/>
        <w:bidi w:val="0"/>
        <w:adjustRightInd w:val="0"/>
        <w:snapToGrid/>
        <w:ind w:firstLine="562" w:firstLineChars="200"/>
        <w:textAlignment w:val="auto"/>
        <w:rPr>
          <w:rFonts w:hint="eastAsia" w:ascii="方正黑体_GBK" w:hAnsi="方正黑体_GBK" w:eastAsia="方正黑体_GBK" w:cs="方正黑体_GBK"/>
          <w:i w:val="0"/>
          <w:iCs/>
          <w:color w:val="auto"/>
          <w:u w:val="none"/>
        </w:rPr>
      </w:pPr>
      <w:bookmarkStart w:id="44" w:name="_Toc9683"/>
      <w:bookmarkStart w:id="45" w:name="_Toc23355"/>
      <w:r>
        <w:rPr>
          <w:rFonts w:hint="eastAsia" w:ascii="方正黑体_GBK" w:hAnsi="方正黑体_GBK" w:eastAsia="方正黑体_GBK" w:cs="方正黑体_GBK"/>
          <w:i w:val="0"/>
          <w:iCs/>
          <w:color w:val="auto"/>
          <w:u w:val="none"/>
          <w:lang w:val="en-US" w:eastAsia="zh-CN"/>
        </w:rPr>
        <w:t>四、集聚慈善枢纽，建立多元救助体系</w:t>
      </w:r>
      <w:bookmarkEnd w:id="43"/>
      <w:bookmarkEnd w:id="44"/>
      <w:bookmarkEnd w:id="45"/>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0"/>
        <w:jc w:val="both"/>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社会救助不仅是政府的职能，也是社会的共同责任。基金会将进一步整合政府和市场、社会各主体的资源，打造慈善救助枢纽。</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0"/>
        <w:jc w:val="both"/>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b/>
          <w:bCs/>
          <w:color w:val="auto"/>
          <w:kern w:val="2"/>
          <w:sz w:val="32"/>
          <w:szCs w:val="32"/>
          <w:u w:val="none"/>
          <w:lang w:val="en-US" w:eastAsia="zh-CN" w:bidi="ar-SA"/>
        </w:rPr>
        <w:t>（一）加大公开募捐力度。</w:t>
      </w:r>
      <w:r>
        <w:rPr>
          <w:rFonts w:hint="eastAsia" w:ascii="方正仿宋_GBK" w:hAnsi="方正仿宋_GBK" w:eastAsia="方正仿宋_GBK" w:cs="方正仿宋_GBK"/>
          <w:color w:val="auto"/>
          <w:sz w:val="32"/>
          <w:szCs w:val="32"/>
          <w:u w:val="none"/>
          <w:lang w:val="en-US" w:eastAsia="zh-CN"/>
        </w:rPr>
        <w:t>依据《中华人民共和国慈善法》等法律法规，加大基金会救助服务品牌项目建设，树立基金会公益慈善形象，加大向优质公益、大型企业和热心公众的宣传推广，提升社会公开募捐项目的知晓度和募集力，尽心尽力参与社会第三次分配，努力实现共同富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0"/>
        <w:jc w:val="both"/>
        <w:textAlignment w:val="auto"/>
        <w:outlineLvl w:val="9"/>
        <w:rPr>
          <w:rFonts w:hint="eastAsia" w:ascii="方正仿宋_GBK" w:hAnsi="方正仿宋_GBK" w:eastAsia="方正仿宋_GBK" w:cs="方正仿宋_GBK"/>
          <w:b w:val="0"/>
          <w:bCs w:val="0"/>
          <w:color w:val="auto"/>
          <w:kern w:val="2"/>
          <w:sz w:val="32"/>
          <w:szCs w:val="32"/>
          <w:u w:val="none"/>
          <w:lang w:val="en-US" w:eastAsia="zh-CN" w:bidi="ar-SA"/>
        </w:rPr>
      </w:pPr>
      <w:r>
        <w:rPr>
          <w:rFonts w:hint="eastAsia" w:ascii="方正仿宋_GBK" w:hAnsi="方正仿宋_GBK" w:eastAsia="方正仿宋_GBK" w:cs="方正仿宋_GBK"/>
          <w:b/>
          <w:bCs/>
          <w:color w:val="auto"/>
          <w:kern w:val="2"/>
          <w:sz w:val="32"/>
          <w:szCs w:val="32"/>
          <w:u w:val="none"/>
          <w:lang w:val="en-US" w:eastAsia="zh-CN" w:bidi="ar-SA"/>
        </w:rPr>
        <w:t>（二）强化信息平台资源链接。</w:t>
      </w:r>
      <w:r>
        <w:rPr>
          <w:rFonts w:hint="eastAsia" w:ascii="方正仿宋_GBK" w:hAnsi="方正仿宋_GBK" w:eastAsia="方正仿宋_GBK" w:cs="方正仿宋_GBK"/>
          <w:b w:val="0"/>
          <w:bCs w:val="0"/>
          <w:color w:val="auto"/>
          <w:kern w:val="2"/>
          <w:sz w:val="32"/>
          <w:szCs w:val="32"/>
          <w:u w:val="none"/>
          <w:lang w:val="en-US" w:eastAsia="zh-CN" w:bidi="ar-SA"/>
        </w:rPr>
        <w:t>适应信息发展的客观需求，借助腾讯公益、支付宝公益、百度公益、微博公益等互联网募捐平台，从困难群众实际需求为出发，围绕救急助难，紧盯乡村振兴，策划和打造线上公益项目，广泛引导社会工作积极参与，持续推进慈善工作，增强社会救助的活力。</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0"/>
        <w:jc w:val="both"/>
        <w:textAlignment w:val="auto"/>
        <w:outlineLvl w:val="9"/>
        <w:rPr>
          <w:rFonts w:hint="eastAsia" w:ascii="方正仿宋_GBK" w:hAnsi="方正仿宋_GBK" w:eastAsia="方正仿宋_GBK" w:cs="方正仿宋_GBK"/>
          <w:b w:val="0"/>
          <w:bCs w:val="0"/>
          <w:color w:val="auto"/>
          <w:kern w:val="2"/>
          <w:sz w:val="32"/>
          <w:szCs w:val="32"/>
          <w:u w:val="none"/>
          <w:lang w:val="en-US" w:eastAsia="zh-CN" w:bidi="ar-SA"/>
        </w:rPr>
      </w:pPr>
      <w:r>
        <w:rPr>
          <w:rFonts w:hint="eastAsia" w:ascii="方正仿宋_GBK" w:hAnsi="方正仿宋_GBK" w:eastAsia="方正仿宋_GBK" w:cs="方正仿宋_GBK"/>
          <w:b/>
          <w:bCs/>
          <w:color w:val="auto"/>
          <w:kern w:val="2"/>
          <w:sz w:val="32"/>
          <w:szCs w:val="32"/>
          <w:u w:val="none"/>
          <w:lang w:val="en-US" w:eastAsia="zh-CN" w:bidi="ar-SA"/>
        </w:rPr>
        <w:t>（三）加强急难众筹平台应用。</w:t>
      </w:r>
      <w:r>
        <w:rPr>
          <w:rFonts w:hint="eastAsia" w:ascii="方正仿宋_GBK" w:hAnsi="方正仿宋_GBK" w:eastAsia="方正仿宋_GBK" w:cs="方正仿宋_GBK"/>
          <w:b w:val="0"/>
          <w:bCs w:val="0"/>
          <w:color w:val="auto"/>
          <w:kern w:val="2"/>
          <w:sz w:val="32"/>
          <w:szCs w:val="32"/>
          <w:u w:val="none"/>
          <w:lang w:val="en-US" w:eastAsia="zh-CN" w:bidi="ar-SA"/>
        </w:rPr>
        <w:t>急难救助，需要及时、精准、快捷。急难众筹平台，有效的利用了移动互联网信息传播速度快、信息受众面广等特点，为遭遇急难的困难群众，提供切实有效的帮助。因此，要进一步加强平台建设，增强数据安全，提高透明度，保证公平，让困难群众求助有门，让社会公众捐得放心。</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0"/>
        <w:jc w:val="both"/>
        <w:textAlignment w:val="auto"/>
        <w:outlineLvl w:val="9"/>
        <w:rPr>
          <w:rFonts w:hint="eastAsia" w:ascii="方正仿宋_GBK" w:hAnsi="方正仿宋_GBK" w:eastAsia="方正仿宋_GBK" w:cs="方正仿宋_GBK"/>
          <w:b w:val="0"/>
          <w:bCs w:val="0"/>
          <w:color w:val="auto"/>
          <w:kern w:val="2"/>
          <w:sz w:val="32"/>
          <w:szCs w:val="32"/>
          <w:u w:val="none"/>
          <w:lang w:val="en-US" w:eastAsia="zh-CN" w:bidi="ar-SA"/>
        </w:rPr>
      </w:pPr>
      <w:r>
        <w:rPr>
          <w:rFonts w:hint="eastAsia" w:ascii="方正仿宋_GBK" w:hAnsi="方正仿宋_GBK" w:eastAsia="方正仿宋_GBK" w:cs="方正仿宋_GBK"/>
          <w:b/>
          <w:bCs/>
          <w:color w:val="auto"/>
          <w:kern w:val="2"/>
          <w:sz w:val="32"/>
          <w:szCs w:val="32"/>
          <w:u w:val="none"/>
          <w:lang w:val="en-US" w:eastAsia="zh-CN" w:bidi="ar-SA"/>
        </w:rPr>
        <w:t>（四）营造人人慈善的氛围。</w:t>
      </w:r>
      <w:r>
        <w:rPr>
          <w:rFonts w:hint="eastAsia" w:ascii="方正仿宋_GBK" w:hAnsi="方正仿宋_GBK" w:eastAsia="方正仿宋_GBK" w:cs="方正仿宋_GBK"/>
          <w:b w:val="0"/>
          <w:bCs w:val="0"/>
          <w:color w:val="auto"/>
          <w:kern w:val="2"/>
          <w:sz w:val="32"/>
          <w:szCs w:val="32"/>
          <w:u w:val="none"/>
          <w:lang w:val="en-US" w:eastAsia="zh-CN" w:bidi="ar-SA"/>
        </w:rPr>
        <w:t>相较于同类基金会的救助服务，重庆社会救助基金会的强项在于直面困难群众、个案运作、实时帮扶。要强化宣传推广，让更多的群众知晓基金会、知晓“身边的救助服务”，发挥他们的作用，调动群众力量，参与困难群众社会救助。</w:t>
      </w:r>
      <w:bookmarkStart w:id="46" w:name="_Toc20902"/>
    </w:p>
    <w:p>
      <w:pPr>
        <w:pStyle w:val="3"/>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i w:val="0"/>
          <w:iCs/>
          <w:color w:val="auto"/>
          <w:u w:val="none"/>
          <w:lang w:val="en-US" w:eastAsia="zh-CN"/>
        </w:rPr>
      </w:pPr>
      <w:bookmarkStart w:id="47" w:name="_Toc5443"/>
      <w:r>
        <w:rPr>
          <w:rFonts w:hint="eastAsia"/>
          <w:i w:val="0"/>
          <w:iCs/>
          <w:color w:val="auto"/>
          <w:u w:val="none"/>
          <w:lang w:val="en-US" w:eastAsia="zh-CN"/>
        </w:rPr>
        <w:t>五、深化救助改革，发展服务型救助项目</w:t>
      </w:r>
      <w:bookmarkEnd w:id="46"/>
      <w:bookmarkEnd w:id="47"/>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0"/>
        <w:jc w:val="both"/>
        <w:textAlignment w:val="auto"/>
        <w:outlineLvl w:val="9"/>
        <w:rPr>
          <w:rFonts w:hint="eastAsia" w:ascii="方正仿宋_GBK" w:hAnsi="方正仿宋_GBK" w:eastAsia="方正仿宋_GBK" w:cs="方正仿宋_GBK"/>
          <w:b w:val="0"/>
          <w:color w:val="auto"/>
          <w:kern w:val="2"/>
          <w:sz w:val="32"/>
          <w:szCs w:val="32"/>
          <w:u w:val="none"/>
          <w:lang w:val="en-US" w:eastAsia="zh-CN" w:bidi="ar-SA"/>
        </w:rPr>
      </w:pPr>
      <w:r>
        <w:rPr>
          <w:rFonts w:hint="eastAsia" w:ascii="方正仿宋_GBK" w:hAnsi="方正仿宋_GBK" w:eastAsia="方正仿宋_GBK" w:cs="方正仿宋_GBK"/>
          <w:b/>
          <w:bCs/>
          <w:color w:val="auto"/>
          <w:kern w:val="2"/>
          <w:sz w:val="32"/>
          <w:szCs w:val="32"/>
          <w:u w:val="none"/>
          <w:lang w:val="en-US" w:eastAsia="zh-CN" w:bidi="ar-SA"/>
        </w:rPr>
        <w:t>（一）发挥社会组织优势，探索救助服务的创新。</w:t>
      </w:r>
      <w:r>
        <w:rPr>
          <w:rFonts w:hint="eastAsia" w:ascii="方正仿宋_GBK" w:hAnsi="方正仿宋_GBK" w:eastAsia="方正仿宋_GBK" w:cs="方正仿宋_GBK"/>
          <w:b w:val="0"/>
          <w:color w:val="auto"/>
          <w:kern w:val="2"/>
          <w:sz w:val="32"/>
          <w:szCs w:val="32"/>
          <w:u w:val="none"/>
          <w:lang w:val="en-US" w:eastAsia="zh-CN" w:bidi="ar-SA"/>
        </w:rPr>
        <w:t>当前的</w:t>
      </w:r>
      <w:r>
        <w:rPr>
          <w:rFonts w:hint="default" w:ascii="Times New Roman" w:hAnsi="Times New Roman" w:eastAsia="方正仿宋_GBK" w:cs="Times New Roman"/>
          <w:b w:val="0"/>
          <w:color w:val="auto"/>
          <w:kern w:val="2"/>
          <w:sz w:val="32"/>
          <w:szCs w:val="32"/>
          <w:u w:val="none"/>
          <w:lang w:val="en-US" w:eastAsia="zh-CN" w:bidi="ar-SA"/>
        </w:rPr>
        <w:t>“8+1”社会救助服务体系，由于主管单位不同、责任分散、缺乏协同机制等</w:t>
      </w:r>
      <w:r>
        <w:rPr>
          <w:rFonts w:hint="eastAsia" w:ascii="方正仿宋_GBK" w:hAnsi="方正仿宋_GBK" w:eastAsia="方正仿宋_GBK" w:cs="方正仿宋_GBK"/>
          <w:b w:val="0"/>
          <w:color w:val="auto"/>
          <w:kern w:val="2"/>
          <w:sz w:val="32"/>
          <w:szCs w:val="32"/>
          <w:u w:val="none"/>
          <w:lang w:val="en-US" w:eastAsia="zh-CN" w:bidi="ar-SA"/>
        </w:rPr>
        <w:t>问题，对于多重困难的群众，往往存在重复救助和救助不到位同时并存的现象；对于边缘性群体，又存在认定困难和政策排斥等难题。这些都不利于救助政策的正常发挥，体现出一定程度的功能阻滞。基金会可以在承接政府转介服务的基础上，适当探索在困难认定、救助方式、救助内容等方面的创新探索，为救助政策的完善提供思路和经验。</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0"/>
        <w:jc w:val="both"/>
        <w:textAlignment w:val="auto"/>
        <w:outlineLvl w:val="9"/>
        <w:rPr>
          <w:rFonts w:hint="eastAsia" w:ascii="方正仿宋_GBK" w:hAnsi="方正仿宋_GBK" w:eastAsia="方正仿宋_GBK" w:cs="方正仿宋_GBK"/>
          <w:b w:val="0"/>
          <w:color w:val="auto"/>
          <w:kern w:val="2"/>
          <w:sz w:val="32"/>
          <w:szCs w:val="32"/>
          <w:u w:val="none"/>
          <w:lang w:val="en-US" w:eastAsia="zh-CN" w:bidi="ar-SA"/>
        </w:rPr>
      </w:pPr>
      <w:r>
        <w:rPr>
          <w:rFonts w:hint="eastAsia" w:ascii="方正仿宋_GBK" w:hAnsi="方正仿宋_GBK" w:eastAsia="方正仿宋_GBK" w:cs="方正仿宋_GBK"/>
          <w:b/>
          <w:bCs/>
          <w:color w:val="auto"/>
          <w:kern w:val="2"/>
          <w:sz w:val="32"/>
          <w:szCs w:val="32"/>
          <w:u w:val="none"/>
          <w:lang w:val="en-US" w:eastAsia="zh-CN" w:bidi="ar-SA"/>
        </w:rPr>
        <w:t>（二）进一步探索服务型救助、发展型救助服务。</w:t>
      </w:r>
      <w:r>
        <w:rPr>
          <w:rFonts w:hint="eastAsia" w:ascii="方正仿宋_GBK" w:hAnsi="方正仿宋_GBK" w:eastAsia="方正仿宋_GBK" w:cs="方正仿宋_GBK"/>
          <w:b w:val="0"/>
          <w:color w:val="auto"/>
          <w:kern w:val="2"/>
          <w:sz w:val="32"/>
          <w:szCs w:val="32"/>
          <w:u w:val="none"/>
          <w:lang w:val="en-US" w:eastAsia="zh-CN" w:bidi="ar-SA"/>
        </w:rPr>
        <w:t>随着社会的发展进步，我国困难群众需求已经多元化，社会救助的使命也发生的变化，和谐安全，生命至上的救助理念，要从单一的物质救助向物质保障、生活照料、精神慰藉、心理疏导、能力提升和社会融入相结合的综合性救助转变，不断提升人们群众的身心获得感、生活幸福感。</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0"/>
        <w:jc w:val="both"/>
        <w:textAlignment w:val="auto"/>
        <w:outlineLvl w:val="9"/>
        <w:rPr>
          <w:rFonts w:hint="eastAsia" w:ascii="方正仿宋_GBK" w:hAnsi="方正仿宋_GBK" w:eastAsia="方正仿宋_GBK" w:cs="方正仿宋_GBK"/>
          <w:b w:val="0"/>
          <w:color w:val="auto"/>
          <w:kern w:val="2"/>
          <w:sz w:val="32"/>
          <w:szCs w:val="32"/>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0"/>
        <w:jc w:val="both"/>
        <w:textAlignment w:val="auto"/>
        <w:outlineLvl w:val="9"/>
        <w:rPr>
          <w:rFonts w:hint="default" w:ascii="方正仿宋_GBK" w:hAnsi="方正仿宋_GBK" w:eastAsia="方正仿宋_GBK" w:cs="方正仿宋_GBK"/>
          <w:b w:val="0"/>
          <w:color w:val="auto"/>
          <w:kern w:val="2"/>
          <w:sz w:val="32"/>
          <w:szCs w:val="32"/>
          <w:u w:val="none"/>
          <w:lang w:val="en-US" w:eastAsia="zh-CN" w:bidi="ar-SA"/>
        </w:rPr>
      </w:pPr>
    </w:p>
    <w:sectPr>
      <w:pgSz w:w="11906" w:h="16838"/>
      <w:pgMar w:top="2098" w:right="1531" w:bottom="1474" w:left="1587" w:header="851" w:footer="992" w:gutter="0"/>
      <w:pgBorders>
        <w:top w:val="none" w:color="auto" w:sz="0" w:space="0"/>
        <w:left w:val="none" w:color="auto" w:sz="0" w:space="0"/>
        <w:bottom w:val="none" w:color="auto" w:sz="0" w:space="0"/>
        <w:right w:val="none" w:color="auto"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ngLiU">
    <w:panose1 w:val="02020509000000000000"/>
    <w:charset w:val="88"/>
    <w:family w:val="roman"/>
    <w:pitch w:val="default"/>
    <w:sig w:usb0="A00002FF" w:usb1="28CFFCFA" w:usb2="00000016" w:usb3="00000000" w:csb0="00100001" w:csb1="00000000"/>
  </w:font>
  <w:font w:name="Microsoft JhengHei">
    <w:panose1 w:val="020B0604030504040204"/>
    <w:charset w:val="88"/>
    <w:family w:val="auto"/>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rect id="4097" o:spid="_x0000_s4097" o:spt="1"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v:imagedata o:title=""/>
          <o:lock v:ext="edit"/>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3"/>
        <w:snapToGrid w:val="0"/>
      </w:pPr>
      <w:r>
        <w:rPr>
          <w:rStyle w:val="20"/>
          <w:rFonts w:ascii="Times New Roman" w:hAnsi="Times New Roman" w:eastAsia="宋体" w:cs="Times New Roman"/>
        </w:rPr>
        <w:footnoteRef/>
      </w:r>
      <w:r>
        <w:t xml:space="preserve"> </w:t>
      </w:r>
      <w:r>
        <w:rPr>
          <w:rFonts w:hint="eastAsia"/>
          <w:lang w:val="en-US" w:eastAsia="zh-CN"/>
        </w:rPr>
        <w:t>张浩淼． 发展型社会救助研究: 国际经验与中国道路［M］． 北京: 商务印书馆，2017: 285．</w:t>
      </w:r>
    </w:p>
  </w:footnote>
  <w:footnote w:id="1">
    <w:p>
      <w:pPr>
        <w:pStyle w:val="13"/>
        <w:snapToGrid w:val="0"/>
        <w:rPr>
          <w:sz w:val="18"/>
          <w:szCs w:val="18"/>
        </w:rPr>
      </w:pPr>
      <w:r>
        <w:rPr>
          <w:rStyle w:val="20"/>
        </w:rPr>
        <w:footnoteRef/>
      </w:r>
      <w:r>
        <w:t xml:space="preserve"> </w:t>
      </w:r>
      <w:r>
        <w:rPr>
          <w:rFonts w:hint="eastAsia" w:ascii="仿宋_GB2312" w:hAnsi="仿宋_GB2312" w:eastAsia="仿宋_GB2312" w:cs="仿宋_GB2312"/>
          <w:color w:val="000000"/>
          <w:sz w:val="18"/>
          <w:szCs w:val="18"/>
          <w:lang w:val="en-US" w:eastAsia="zh-CN"/>
        </w:rPr>
        <w:t>林闽钢． 我国社会救助体系发展四十年: 回顾与前瞻［J］． 北京行政学院学报，2018，( 5) : 3．</w:t>
      </w:r>
    </w:p>
  </w:footnote>
  <w:footnote w:id="2">
    <w:p>
      <w:pPr>
        <w:pStyle w:val="13"/>
        <w:snapToGrid w:val="0"/>
        <w:rPr>
          <w:rFonts w:hint="eastAsia" w:ascii="仿宋_GB2312" w:hAnsi="仿宋_GB2312" w:eastAsia="仿宋_GB2312" w:cs="仿宋_GB2312"/>
          <w:color w:val="000000"/>
          <w:sz w:val="18"/>
          <w:szCs w:val="18"/>
          <w:lang w:val="en-US" w:eastAsia="zh-CN"/>
        </w:rPr>
      </w:pPr>
      <w:r>
        <w:rPr>
          <w:rStyle w:val="20"/>
          <w:sz w:val="18"/>
          <w:szCs w:val="18"/>
        </w:rPr>
        <w:footnoteRef/>
      </w:r>
      <w:r>
        <w:rPr>
          <w:sz w:val="18"/>
          <w:szCs w:val="18"/>
        </w:rPr>
        <w:t xml:space="preserve"> </w:t>
      </w:r>
      <w:r>
        <w:rPr>
          <w:rFonts w:hint="eastAsia" w:ascii="仿宋_GB2312" w:hAnsi="仿宋_GB2312" w:eastAsia="仿宋_GB2312" w:cs="仿宋_GB2312"/>
          <w:color w:val="000000"/>
          <w:sz w:val="18"/>
          <w:szCs w:val="18"/>
          <w:lang w:val="en-US" w:eastAsia="zh-CN"/>
        </w:rPr>
        <w:t>包括特困人员供养和最低生活保障两项生活救助以及住房救助、医疗救助、临时救助、受灾人员救助、教育救助和就业救助六项专项救助，以及社会力量参与社会救助。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A4D48"/>
    <w:rsid w:val="00B26C25"/>
    <w:rsid w:val="0159667D"/>
    <w:rsid w:val="03696214"/>
    <w:rsid w:val="05324778"/>
    <w:rsid w:val="082040D5"/>
    <w:rsid w:val="094120F7"/>
    <w:rsid w:val="0CBB7D16"/>
    <w:rsid w:val="0CE54DF2"/>
    <w:rsid w:val="0E6065CD"/>
    <w:rsid w:val="144E5CEE"/>
    <w:rsid w:val="16D513F8"/>
    <w:rsid w:val="17067DA8"/>
    <w:rsid w:val="17227E68"/>
    <w:rsid w:val="17C31A27"/>
    <w:rsid w:val="1803255B"/>
    <w:rsid w:val="19D73034"/>
    <w:rsid w:val="1B7352E7"/>
    <w:rsid w:val="1D3E79EC"/>
    <w:rsid w:val="1EEE2C70"/>
    <w:rsid w:val="1F2D7304"/>
    <w:rsid w:val="1F881122"/>
    <w:rsid w:val="211B34F5"/>
    <w:rsid w:val="221F692E"/>
    <w:rsid w:val="257E6B4E"/>
    <w:rsid w:val="27B975B2"/>
    <w:rsid w:val="2A9B743A"/>
    <w:rsid w:val="2D951E0F"/>
    <w:rsid w:val="2DE1027B"/>
    <w:rsid w:val="2FB12F37"/>
    <w:rsid w:val="301B7C04"/>
    <w:rsid w:val="31E25053"/>
    <w:rsid w:val="340C6476"/>
    <w:rsid w:val="34AB2182"/>
    <w:rsid w:val="35BA346B"/>
    <w:rsid w:val="37451B17"/>
    <w:rsid w:val="3DE97E21"/>
    <w:rsid w:val="3F3C0E38"/>
    <w:rsid w:val="3FF70514"/>
    <w:rsid w:val="414F37C3"/>
    <w:rsid w:val="42011389"/>
    <w:rsid w:val="454A761E"/>
    <w:rsid w:val="4A527A13"/>
    <w:rsid w:val="4AAE3E56"/>
    <w:rsid w:val="4D4840C5"/>
    <w:rsid w:val="4D4C310E"/>
    <w:rsid w:val="52D4589E"/>
    <w:rsid w:val="550E31E1"/>
    <w:rsid w:val="5B7513FB"/>
    <w:rsid w:val="5EE2271F"/>
    <w:rsid w:val="5F9205C7"/>
    <w:rsid w:val="630761E1"/>
    <w:rsid w:val="6FE7328F"/>
    <w:rsid w:val="706738EB"/>
    <w:rsid w:val="71E269EB"/>
    <w:rsid w:val="72AA4A73"/>
    <w:rsid w:val="754519E6"/>
    <w:rsid w:val="76CA3892"/>
    <w:rsid w:val="770D7190"/>
    <w:rsid w:val="78963C1C"/>
    <w:rsid w:val="7BAD0F6B"/>
    <w:rsid w:val="7D455F6C"/>
    <w:rsid w:val="7D686321"/>
    <w:rsid w:val="7DF51CCA"/>
    <w:rsid w:val="7F415A2E"/>
    <w:rsid w:val="7FB32ED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color w:val="auto"/>
      <w:kern w:val="2"/>
      <w:sz w:val="21"/>
      <w:szCs w:val="24"/>
      <w:lang w:val="en-US" w:eastAsia="zh-CN" w:bidi="ar-SA"/>
    </w:rPr>
  </w:style>
  <w:style w:type="paragraph" w:styleId="2">
    <w:name w:val="heading 1"/>
    <w:basedOn w:val="1"/>
    <w:next w:val="1"/>
    <w:qFormat/>
    <w:uiPriority w:val="99"/>
    <w:pPr>
      <w:widowControl w:val="0"/>
      <w:autoSpaceDE w:val="0"/>
      <w:autoSpaceDN w:val="0"/>
      <w:adjustRightInd w:val="0"/>
    </w:pPr>
    <w:rPr>
      <w:rFonts w:hint="default" w:ascii="MingLiU" w:hAnsi="MingLiU" w:eastAsia="MingLiU" w:cs="Times New Roman"/>
      <w:b/>
      <w:color w:val="000000"/>
      <w:sz w:val="32"/>
      <w:szCs w:val="24"/>
    </w:rPr>
  </w:style>
  <w:style w:type="paragraph" w:styleId="3">
    <w:name w:val="heading 2"/>
    <w:next w:val="1"/>
    <w:qFormat/>
    <w:uiPriority w:val="99"/>
    <w:pPr>
      <w:widowControl w:val="0"/>
      <w:autoSpaceDE w:val="0"/>
      <w:autoSpaceDN w:val="0"/>
      <w:adjustRightInd w:val="0"/>
    </w:pPr>
    <w:rPr>
      <w:rFonts w:hint="default" w:ascii="MingLiU" w:hAnsi="MingLiU" w:eastAsia="MingLiU" w:cs="Times New Roman"/>
      <w:b/>
      <w:i/>
      <w:color w:val="000000"/>
      <w:sz w:val="28"/>
      <w:szCs w:val="24"/>
    </w:rPr>
  </w:style>
  <w:style w:type="paragraph" w:styleId="4">
    <w:name w:val="heading 3"/>
    <w:next w:val="1"/>
    <w:qFormat/>
    <w:uiPriority w:val="99"/>
    <w:pPr>
      <w:widowControl w:val="0"/>
      <w:autoSpaceDE w:val="0"/>
      <w:autoSpaceDN w:val="0"/>
      <w:adjustRightInd w:val="0"/>
    </w:pPr>
    <w:rPr>
      <w:rFonts w:hint="default" w:ascii="MingLiU" w:hAnsi="MingLiU" w:eastAsia="MingLiU" w:cs="Times New Roman"/>
      <w:b/>
      <w:color w:val="000000"/>
      <w:sz w:val="26"/>
      <w:szCs w:val="24"/>
    </w:rPr>
  </w:style>
  <w:style w:type="paragraph" w:styleId="5">
    <w:name w:val="heading 5"/>
    <w:basedOn w:val="1"/>
    <w:next w:val="1"/>
    <w:qFormat/>
    <w:uiPriority w:val="0"/>
    <w:pPr>
      <w:keepNext/>
      <w:keepLines/>
      <w:spacing w:before="280" w:after="290" w:line="376" w:lineRule="auto"/>
      <w:outlineLvl w:val="4"/>
    </w:pPr>
    <w:rPr>
      <w:rFonts w:ascii="Times New Roman" w:hAnsi="Times New Roman"/>
      <w:b/>
      <w:bCs/>
      <w:sz w:val="28"/>
      <w:szCs w:val="28"/>
    </w:rPr>
  </w:style>
  <w:style w:type="character" w:default="1" w:styleId="16">
    <w:name w:val="Default Paragraph Font"/>
    <w:qFormat/>
    <w:uiPriority w:val="0"/>
  </w:style>
  <w:style w:type="table" w:default="1" w:styleId="21">
    <w:name w:val="Normal Table"/>
    <w:qFormat/>
    <w:uiPriority w:val="0"/>
    <w:tblPr>
      <w:tblLayout w:type="fixed"/>
      <w:tblCellMar>
        <w:top w:w="0" w:type="dxa"/>
        <w:left w:w="108" w:type="dxa"/>
        <w:bottom w:w="0" w:type="dxa"/>
        <w:right w:w="108" w:type="dxa"/>
      </w:tblCellMar>
    </w:tblPr>
  </w:style>
  <w:style w:type="paragraph" w:styleId="6">
    <w:name w:val="Body Text First Indent"/>
    <w:basedOn w:val="7"/>
    <w:next w:val="5"/>
    <w:qFormat/>
    <w:uiPriority w:val="0"/>
    <w:pPr>
      <w:spacing w:line="580" w:lineRule="exact"/>
      <w:ind w:firstLine="880" w:firstLineChars="200"/>
    </w:pPr>
    <w:rPr>
      <w:szCs w:val="22"/>
    </w:rPr>
  </w:style>
  <w:style w:type="paragraph" w:styleId="7">
    <w:name w:val="Body Text"/>
    <w:basedOn w:val="1"/>
    <w:next w:val="8"/>
    <w:qFormat/>
    <w:uiPriority w:val="0"/>
    <w:pPr>
      <w:spacing w:after="120"/>
    </w:pPr>
  </w:style>
  <w:style w:type="paragraph" w:styleId="8">
    <w:name w:val="Body Text Indent"/>
    <w:basedOn w:val="1"/>
    <w:qFormat/>
    <w:uiPriority w:val="0"/>
    <w:pPr>
      <w:spacing w:line="600" w:lineRule="atLeast"/>
      <w:ind w:firstLine="600"/>
    </w:pPr>
    <w:rPr>
      <w:rFonts w:ascii="仿宋_GB2312" w:hAnsi="Times New Roman" w:eastAsia="仿宋_GB2312"/>
      <w:b/>
      <w:bCs/>
      <w:sz w:val="30"/>
      <w:szCs w:val="30"/>
    </w:rPr>
  </w:style>
  <w:style w:type="paragraph" w:styleId="9">
    <w:name w:val="annotation text"/>
    <w:basedOn w:val="1"/>
    <w:qFormat/>
    <w:uiPriority w:val="0"/>
    <w:pPr>
      <w:jc w:val="left"/>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footnote text"/>
    <w:basedOn w:val="1"/>
    <w:qFormat/>
    <w:uiPriority w:val="0"/>
    <w:pPr>
      <w:snapToGrid w:val="0"/>
      <w:jc w:val="left"/>
    </w:pPr>
    <w:rPr>
      <w:sz w:val="18"/>
    </w:rPr>
  </w:style>
  <w:style w:type="paragraph" w:styleId="14">
    <w:name w:val="toc 2"/>
    <w:basedOn w:val="1"/>
    <w:next w:val="1"/>
    <w:qFormat/>
    <w:uiPriority w:val="0"/>
    <w:pPr>
      <w:ind w:left="420" w:leftChars="200"/>
    </w:pPr>
  </w:style>
  <w:style w:type="paragraph" w:styleId="15">
    <w:name w:val="Normal (Web)"/>
    <w:basedOn w:val="1"/>
    <w:qFormat/>
    <w:uiPriority w:val="0"/>
    <w:pPr>
      <w:spacing w:before="0" w:beforeAutospacing="1" w:after="0" w:afterAutospacing="1"/>
      <w:ind w:left="0" w:right="0"/>
      <w:jc w:val="left"/>
    </w:pPr>
    <w:rPr>
      <w:kern w:val="0"/>
      <w:sz w:val="24"/>
      <w:lang w:val="en-US" w:eastAsia="zh-CN"/>
    </w:rPr>
  </w:style>
  <w:style w:type="character" w:styleId="17">
    <w:name w:val="Strong"/>
    <w:basedOn w:val="16"/>
    <w:qFormat/>
    <w:uiPriority w:val="0"/>
    <w:rPr>
      <w:b/>
    </w:rPr>
  </w:style>
  <w:style w:type="character" w:styleId="18">
    <w:name w:val="FollowedHyperlink"/>
    <w:basedOn w:val="16"/>
    <w:qFormat/>
    <w:uiPriority w:val="0"/>
    <w:rPr>
      <w:color w:val="333333"/>
      <w:u w:val="none"/>
    </w:rPr>
  </w:style>
  <w:style w:type="character" w:styleId="19">
    <w:name w:val="Hyperlink"/>
    <w:basedOn w:val="16"/>
    <w:qFormat/>
    <w:uiPriority w:val="0"/>
    <w:rPr>
      <w:color w:val="333333"/>
      <w:u w:val="none"/>
    </w:rPr>
  </w:style>
  <w:style w:type="character" w:styleId="20">
    <w:name w:val="footnote reference"/>
    <w:basedOn w:val="16"/>
    <w:qFormat/>
    <w:uiPriority w:val="0"/>
    <w:rPr>
      <w:vertAlign w:val="superscript"/>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 w:type="paragraph" w:customStyle="1" w:styleId="2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diagramQuickStyle" Target="diagrams/quickStyle1.xml"/><Relationship Id="rId8" Type="http://schemas.openxmlformats.org/officeDocument/2006/relationships/diagramLayout" Target="diagrams/layout1.xml"/><Relationship Id="rId7" Type="http://schemas.openxmlformats.org/officeDocument/2006/relationships/diagramData" Target="diagrams/data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chart" Target="charts/chart1.xml"/><Relationship Id="rId10" Type="http://schemas.openxmlformats.org/officeDocument/2006/relationships/diagramColors" Target="diagrams/colors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2522;&#37329;&#20250;\&#26032;&#24314;%20XLSX%20&#24037;&#20316;&#34920;%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4F81BD"/>
            </a:solidFill>
            <a:ln>
              <a:noFill/>
            </a:ln>
            <a:effectLst/>
          </c:spPr>
          <c:invertIfNegative val="0"/>
          <c:dLbls>
            <c:delete val="1"/>
          </c:dLbls>
          <c:cat>
            <c:strRef>
              <c:f>'[新建 XLSX 工作表 (2).xlsx]Sheet1'!$A$4:$A$14</c:f>
              <c:strCache>
                <c:ptCount val="11"/>
                <c:pt idx="0">
                  <c:v>2011</c:v>
                </c:pt>
                <c:pt idx="1">
                  <c:v>2012</c:v>
                </c:pt>
                <c:pt idx="2">
                  <c:v>2013</c:v>
                </c:pt>
                <c:pt idx="3">
                  <c:v>2014</c:v>
                </c:pt>
                <c:pt idx="4">
                  <c:v>2015</c:v>
                </c:pt>
                <c:pt idx="5">
                  <c:v>2016</c:v>
                </c:pt>
                <c:pt idx="6">
                  <c:v>2017</c:v>
                </c:pt>
                <c:pt idx="7">
                  <c:v>2018</c:v>
                </c:pt>
                <c:pt idx="8">
                  <c:v>2019</c:v>
                </c:pt>
                <c:pt idx="9">
                  <c:v>2020</c:v>
                </c:pt>
                <c:pt idx="10">
                  <c:v>2021（1.1-6.30）</c:v>
                </c:pt>
              </c:strCache>
            </c:strRef>
          </c:cat>
          <c:val>
            <c:numRef>
              <c:f>'[新建 XLSX 工作表 (2).xlsx]Sheet1'!$B$4:$B$14</c:f>
              <c:numCache>
                <c:formatCode>General</c:formatCode>
                <c:ptCount val="11"/>
                <c:pt idx="0" c:formatCode="General">
                  <c:v>3</c:v>
                </c:pt>
                <c:pt idx="1" c:formatCode="General">
                  <c:v>36</c:v>
                </c:pt>
                <c:pt idx="2" c:formatCode="General">
                  <c:v>8.7</c:v>
                </c:pt>
                <c:pt idx="3" c:formatCode="General">
                  <c:v>83.65094</c:v>
                </c:pt>
                <c:pt idx="4" c:formatCode="General">
                  <c:v>151.66066</c:v>
                </c:pt>
                <c:pt idx="5" c:formatCode="General">
                  <c:v>95.62</c:v>
                </c:pt>
                <c:pt idx="6" c:formatCode="General">
                  <c:v>53.55</c:v>
                </c:pt>
                <c:pt idx="7" c:formatCode="General">
                  <c:v>270.54</c:v>
                </c:pt>
                <c:pt idx="8" c:formatCode="General">
                  <c:v>546.93</c:v>
                </c:pt>
                <c:pt idx="9" c:formatCode="General">
                  <c:v>814.6</c:v>
                </c:pt>
                <c:pt idx="10" c:formatCode="General">
                  <c:v>810.392159</c:v>
                </c:pt>
              </c:numCache>
            </c:numRef>
          </c:val>
        </c:ser>
        <c:dLbls>
          <c:showLegendKey val="0"/>
          <c:showVal val="0"/>
          <c:showCatName val="0"/>
          <c:showSerName val="0"/>
          <c:showPercent val="0"/>
          <c:showBubbleSize val="0"/>
        </c:dLbls>
        <c:gapWidth val="219"/>
        <c:overlap val="-27"/>
        <c:axId val="221557808"/>
        <c:axId val="103757991"/>
      </c:barChart>
      <c:catAx>
        <c:axId val="221557808"/>
        <c:scaling>
          <c:orientation val="minMax"/>
        </c:scaling>
        <c:delete val="0"/>
        <c:axPos val="b"/>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103757991"/>
        <c:crosses val="autoZero"/>
        <c:auto val="1"/>
        <c:lblAlgn val="ctr"/>
        <c:lblOffset val="100"/>
        <c:noMultiLvlLbl val="0"/>
      </c:catAx>
      <c:valAx>
        <c:axId val="103757991"/>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221557808"/>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2FE6BDA1-660C-44E3-B8D3-B738986F10EC}" type="doc">
      <dgm:prSet loTypeId="process" loCatId="process" qsTypeId="urn:microsoft.com/office/officeart/2005/8/quickstyle/simple1" qsCatId="simple" csTypeId="urn:microsoft.com/office/officeart/2005/8/colors/accent1_2" csCatId="accent1" phldr="0"/>
      <dgm:spPr/>
      <dgm:t>
        <a:bodyPr/>
        <a:p>
          <a:endParaRPr lang="zh-CN" altLang="en-US"/>
        </a:p>
      </dgm:t>
    </dgm:pt>
    <dgm:pt modelId="{1EC822D0-4B77-4F25-ABD5-8949AFB965C8}">
      <dgm:prSet phldrT="[文本]" phldr="0" custT="1"/>
      <dgm:spPr/>
      <dgm:t>
        <a:bodyPr vert="horz" wrap="square"/>
        <a:p>
          <a:pPr>
            <a:lnSpc>
              <a:spcPct val="100000"/>
            </a:lnSpc>
            <a:spcBef>
              <a:spcPct val="0"/>
            </a:spcBef>
            <a:spcAft>
              <a:spcPct val="35000"/>
            </a:spcAft>
          </a:pPr>
          <a:r>
            <a:rPr lang="en-US" altLang="zh-CN" sz="1050"/>
            <a:t>201</a:t>
          </a:r>
          <a:r>
            <a:rPr lang="en-US" altLang="zh-CN" sz="1050"/>
            <a:t>1</a:t>
          </a:r>
          <a:r>
            <a:rPr lang="en-US" altLang="zh-CN" sz="1050"/>
            <a:t>-2014</a:t>
          </a:r>
          <a:r>
            <a:rPr lang="zh-CN" altLang="en-US" sz="1050"/>
            <a:t>年</a:t>
          </a:r>
          <a:r>
            <a:rPr lang="zh-CN" altLang="en-US" sz="1050"/>
            <a:t/>
          </a:r>
          <a:endParaRPr lang="zh-CN" altLang="en-US" sz="1050"/>
        </a:p>
      </dgm:t>
    </dgm:pt>
    <dgm:pt modelId="{A55FEC0B-23EE-4CFE-8050-49CBA30A17FC}" cxnId="{812B57A4-5E2E-41B9-AF89-2EFD1695EBCC}" type="parTrans">
      <dgm:prSet/>
      <dgm:spPr/>
      <dgm:t>
        <a:bodyPr/>
        <a:p>
          <a:endParaRPr lang="zh-CN" altLang="en-US"/>
        </a:p>
      </dgm:t>
    </dgm:pt>
    <dgm:pt modelId="{B0C310D3-A5C4-423C-ADC0-FD305A7B421A}" cxnId="{812B57A4-5E2E-41B9-AF89-2EFD1695EBCC}" type="sibTrans">
      <dgm:prSet/>
      <dgm:spPr/>
      <dgm:t>
        <a:bodyPr/>
        <a:p>
          <a:endParaRPr lang="zh-CN" altLang="en-US"/>
        </a:p>
      </dgm:t>
    </dgm:pt>
    <dgm:pt modelId="{86BF0545-C8C8-404B-B317-6B71601F8310}">
      <dgm:prSet phldrT="[文本]" phldr="0" custT="1"/>
      <dgm:spPr/>
      <dgm:t>
        <a:bodyPr vert="horz" wrap="square"/>
        <a:p>
          <a:pPr>
            <a:lnSpc>
              <a:spcPct val="100000"/>
            </a:lnSpc>
            <a:spcBef>
              <a:spcPct val="0"/>
            </a:spcBef>
            <a:spcAft>
              <a:spcPct val="15000"/>
            </a:spcAft>
          </a:pPr>
          <a:r>
            <a:rPr lang="zh-CN" altLang="en-US" sz="1000"/>
            <a:t>意外伤</a:t>
          </a:r>
          <a:r>
            <a:rPr lang="en-US" altLang="zh-CN" sz="1000"/>
            <a:t>/</a:t>
          </a:r>
          <a:r>
            <a:rPr lang="zh-CN" altLang="en-US" sz="1000"/>
            <a:t>灾害救助</a:t>
          </a:r>
          <a:r>
            <a:rPr lang="zh-CN" altLang="en-US" sz="1000"/>
            <a:t/>
          </a:r>
          <a:endParaRPr lang="zh-CN" altLang="en-US" sz="1000"/>
        </a:p>
      </dgm:t>
    </dgm:pt>
    <dgm:pt modelId="{A554C9B6-595F-4C42-BA2E-0AF975A6182B}" cxnId="{355139A5-4A8D-4F4A-B168-82780B8281FA}" type="parTrans">
      <dgm:prSet/>
      <dgm:spPr/>
      <dgm:t>
        <a:bodyPr/>
        <a:p>
          <a:endParaRPr lang="zh-CN" altLang="en-US"/>
        </a:p>
      </dgm:t>
    </dgm:pt>
    <dgm:pt modelId="{8F0220D1-B873-4B1C-82E7-D1658190B6B3}" cxnId="{355139A5-4A8D-4F4A-B168-82780B8281FA}" type="sibTrans">
      <dgm:prSet/>
      <dgm:spPr/>
      <dgm:t>
        <a:bodyPr/>
        <a:p>
          <a:endParaRPr lang="zh-CN" altLang="en-US"/>
        </a:p>
      </dgm:t>
    </dgm:pt>
    <dgm:pt modelId="{7EC7BD30-1CF3-4E11-9B0D-9C539444BD54}">
      <dgm:prSet phldr="0" custT="1"/>
      <dgm:spPr/>
      <dgm:t>
        <a:bodyPr vert="horz" wrap="square"/>
        <a:p>
          <a:pPr>
            <a:lnSpc>
              <a:spcPct val="100000"/>
            </a:lnSpc>
            <a:spcBef>
              <a:spcPct val="0"/>
            </a:spcBef>
            <a:spcAft>
              <a:spcPct val="15000"/>
            </a:spcAft>
          </a:pPr>
          <a:r>
            <a:rPr lang="zh-CN" altLang="en-US" sz="1000"/>
            <a:t>特殊困难救助</a:t>
          </a:r>
          <a:r>
            <a:rPr lang="zh-CN" altLang="en-US" sz="1000"/>
            <a:t/>
          </a:r>
          <a:endParaRPr lang="zh-CN" altLang="en-US" sz="1000"/>
        </a:p>
      </dgm:t>
    </dgm:pt>
    <dgm:pt modelId="{654F522D-C364-4CA1-81EF-AD88701EC57A}" cxnId="{4709CADA-E587-43B7-A770-D4C4B4C88EA7}" type="parTrans">
      <dgm:prSet/>
      <dgm:spPr/>
    </dgm:pt>
    <dgm:pt modelId="{79D8AE5B-7A6A-4426-883D-556636C34FAE}" cxnId="{4709CADA-E587-43B7-A770-D4C4B4C88EA7}" type="sibTrans">
      <dgm:prSet/>
      <dgm:spPr/>
    </dgm:pt>
    <dgm:pt modelId="{77805CE7-245A-485D-AABD-4A69BE75CA44}">
      <dgm:prSet phldr="0" custT="1"/>
      <dgm:spPr/>
      <dgm:t>
        <a:bodyPr vert="horz" wrap="square"/>
        <a:p>
          <a:pPr>
            <a:lnSpc>
              <a:spcPct val="100000"/>
            </a:lnSpc>
            <a:spcBef>
              <a:spcPct val="0"/>
            </a:spcBef>
            <a:spcAft>
              <a:spcPct val="15000"/>
            </a:spcAft>
          </a:pPr>
          <a:r>
            <a:rPr lang="zh-CN" altLang="en-US" sz="1000"/>
            <a:t>扶困就医</a:t>
          </a:r>
          <a:r>
            <a:rPr lang="zh-CN" altLang="en-US" sz="1000"/>
            <a:t/>
          </a:r>
          <a:endParaRPr lang="zh-CN" altLang="en-US" sz="1000"/>
        </a:p>
      </dgm:t>
    </dgm:pt>
    <dgm:pt modelId="{D269BDFA-7386-4CF4-A896-BE147E1C256C}" cxnId="{A904765D-B5E2-4FCD-8F53-B8409668F998}" type="parTrans">
      <dgm:prSet/>
      <dgm:spPr/>
    </dgm:pt>
    <dgm:pt modelId="{7044C82E-6A58-477B-82A9-E7E776AF5DA5}" cxnId="{A904765D-B5E2-4FCD-8F53-B8409668F998}" type="sibTrans">
      <dgm:prSet/>
      <dgm:spPr/>
    </dgm:pt>
    <dgm:pt modelId="{86FEAB3F-FBB1-46CC-9DC6-E094874805AE}">
      <dgm:prSet phldrT="[文本]" phldr="0" custT="1"/>
      <dgm:spPr/>
      <dgm:t>
        <a:bodyPr vert="horz" wrap="square"/>
        <a:p>
          <a:pPr>
            <a:lnSpc>
              <a:spcPct val="100000"/>
            </a:lnSpc>
            <a:spcBef>
              <a:spcPct val="0"/>
            </a:spcBef>
            <a:spcAft>
              <a:spcPct val="35000"/>
            </a:spcAft>
          </a:pPr>
          <a:r>
            <a:rPr lang="en-US" altLang="zh-CN" sz="1050"/>
            <a:t>2015-2018</a:t>
          </a:r>
          <a:r>
            <a:rPr lang="zh-CN" altLang="en-US" sz="1050"/>
            <a:t>年</a:t>
          </a:r>
          <a:r>
            <a:rPr lang="zh-CN" altLang="en-US" sz="1050"/>
            <a:t/>
          </a:r>
          <a:endParaRPr lang="zh-CN" altLang="en-US" sz="1050"/>
        </a:p>
      </dgm:t>
    </dgm:pt>
    <dgm:pt modelId="{74C68F9B-1FC8-4F0A-8F6F-246FC86076E9}" cxnId="{E7155D33-46FC-4EB8-96F4-04F1577CEC56}" type="parTrans">
      <dgm:prSet/>
      <dgm:spPr/>
      <dgm:t>
        <a:bodyPr/>
        <a:p>
          <a:endParaRPr lang="zh-CN" altLang="en-US"/>
        </a:p>
      </dgm:t>
    </dgm:pt>
    <dgm:pt modelId="{C7876883-34BD-4A68-A98E-D95D42D0FF9D}" cxnId="{E7155D33-46FC-4EB8-96F4-04F1577CEC56}" type="sibTrans">
      <dgm:prSet/>
      <dgm:spPr/>
      <dgm:t>
        <a:bodyPr/>
        <a:p>
          <a:endParaRPr lang="zh-CN" altLang="en-US"/>
        </a:p>
      </dgm:t>
    </dgm:pt>
    <dgm:pt modelId="{972233BE-F562-42C6-8E02-C376C905A446}">
      <dgm:prSet phldrT="[文本]" phldr="0" custT="1"/>
      <dgm:spPr/>
      <dgm:t>
        <a:bodyPr vert="horz" wrap="square"/>
        <a:p>
          <a:pPr>
            <a:lnSpc>
              <a:spcPct val="100000"/>
            </a:lnSpc>
            <a:spcBef>
              <a:spcPct val="0"/>
            </a:spcBef>
            <a:spcAft>
              <a:spcPct val="15000"/>
            </a:spcAft>
          </a:pPr>
          <a:r>
            <a:rPr lang="zh-CN" altLang="en-US" sz="1000"/>
            <a:t>意外伤</a:t>
          </a:r>
          <a:r>
            <a:rPr lang="en-US" altLang="zh-CN" sz="1000"/>
            <a:t>/</a:t>
          </a:r>
          <a:r>
            <a:rPr lang="zh-CN" altLang="en-US" sz="1000"/>
            <a:t>灾害救助</a:t>
          </a:r>
          <a:r>
            <a:rPr lang="zh-CN" altLang="en-US" sz="1000"/>
            <a:t/>
          </a:r>
          <a:endParaRPr lang="zh-CN" altLang="en-US" sz="1000"/>
        </a:p>
      </dgm:t>
    </dgm:pt>
    <dgm:pt modelId="{1B83FA22-B57F-4847-AF9E-FCABBD20370B}" cxnId="{B58E980F-8F25-41CA-9DE5-D67AC3515EB8}" type="parTrans">
      <dgm:prSet/>
      <dgm:spPr/>
      <dgm:t>
        <a:bodyPr/>
        <a:p>
          <a:endParaRPr lang="zh-CN" altLang="en-US"/>
        </a:p>
      </dgm:t>
    </dgm:pt>
    <dgm:pt modelId="{C95400EF-05CE-49A4-A439-43C3AD15FAE2}" cxnId="{B58E980F-8F25-41CA-9DE5-D67AC3515EB8}" type="sibTrans">
      <dgm:prSet/>
      <dgm:spPr/>
      <dgm:t>
        <a:bodyPr/>
        <a:p>
          <a:endParaRPr lang="zh-CN" altLang="en-US"/>
        </a:p>
      </dgm:t>
    </dgm:pt>
    <dgm:pt modelId="{4D6BCB4B-BAAC-4466-AEA9-E81D948043D8}">
      <dgm:prSet phldr="0" custT="1"/>
      <dgm:spPr/>
      <dgm:t>
        <a:bodyPr vert="horz" wrap="square"/>
        <a:p>
          <a:pPr>
            <a:lnSpc>
              <a:spcPct val="100000"/>
            </a:lnSpc>
            <a:spcBef>
              <a:spcPct val="0"/>
            </a:spcBef>
            <a:spcAft>
              <a:spcPct val="15000"/>
            </a:spcAft>
          </a:pPr>
          <a:r>
            <a:rPr lang="zh-CN" altLang="en-US" sz="1000"/>
            <a:t>特殊困难救助</a:t>
          </a:r>
          <a:r>
            <a:rPr lang="zh-CN" altLang="en-US" sz="1000"/>
            <a:t/>
          </a:r>
          <a:endParaRPr lang="zh-CN" altLang="en-US" sz="1000"/>
        </a:p>
      </dgm:t>
    </dgm:pt>
    <dgm:pt modelId="{72A7D970-B4ED-4321-BFEC-A15BF6EBBFCE}" cxnId="{7E130C3A-ECDF-4878-8F64-547584DAD46C}" type="parTrans">
      <dgm:prSet/>
      <dgm:spPr/>
    </dgm:pt>
    <dgm:pt modelId="{60806964-084E-4D8D-B83A-6AD84BC817BF}" cxnId="{7E130C3A-ECDF-4878-8F64-547584DAD46C}" type="sibTrans">
      <dgm:prSet/>
      <dgm:spPr/>
    </dgm:pt>
    <dgm:pt modelId="{5D4A7530-2892-4231-ADEA-B76A154FE640}">
      <dgm:prSet phldr="0" custT="1"/>
      <dgm:spPr/>
      <dgm:t>
        <a:bodyPr vert="horz" wrap="square"/>
        <a:p>
          <a:pPr>
            <a:lnSpc>
              <a:spcPct val="100000"/>
            </a:lnSpc>
            <a:spcBef>
              <a:spcPct val="0"/>
            </a:spcBef>
            <a:spcAft>
              <a:spcPct val="15000"/>
            </a:spcAft>
          </a:pPr>
          <a:r>
            <a:rPr lang="zh-CN" altLang="en-US" sz="1000"/>
            <a:t>对口援藏</a:t>
          </a:r>
          <a:r>
            <a:rPr lang="zh-CN" altLang="en-US" sz="1000"/>
            <a:t/>
          </a:r>
          <a:endParaRPr lang="zh-CN" altLang="en-US" sz="1000"/>
        </a:p>
      </dgm:t>
    </dgm:pt>
    <dgm:pt modelId="{C2270AE6-2113-4FB5-BDC8-3A657923067E}" cxnId="{A4F8DBA1-3B48-4535-8F30-E381AD6E5603}" type="parTrans">
      <dgm:prSet/>
      <dgm:spPr/>
    </dgm:pt>
    <dgm:pt modelId="{5898731A-A43A-47B4-94D6-98B6D6E66B5C}" cxnId="{A4F8DBA1-3B48-4535-8F30-E381AD6E5603}" type="sibTrans">
      <dgm:prSet/>
      <dgm:spPr/>
    </dgm:pt>
    <dgm:pt modelId="{7D4BBFE9-2C2A-4C53-A3E6-AEF8CAA32CFC}">
      <dgm:prSet phldr="0" custT="1"/>
      <dgm:spPr/>
      <dgm:t>
        <a:bodyPr vert="horz" wrap="square"/>
        <a:p>
          <a:pPr>
            <a:lnSpc>
              <a:spcPct val="100000"/>
            </a:lnSpc>
            <a:spcBef>
              <a:spcPct val="0"/>
            </a:spcBef>
            <a:spcAft>
              <a:spcPct val="15000"/>
            </a:spcAft>
          </a:pPr>
          <a:r>
            <a:rPr lang="zh-CN" altLang="en-US" sz="1000"/>
            <a:t>扶困就医</a:t>
          </a:r>
          <a:r>
            <a:rPr lang="zh-CN" altLang="en-US" sz="1000"/>
            <a:t/>
          </a:r>
          <a:endParaRPr lang="zh-CN" altLang="en-US" sz="1000"/>
        </a:p>
      </dgm:t>
    </dgm:pt>
    <dgm:pt modelId="{C5CFE76B-B3CC-44D3-97EB-DF297352EFBD}" cxnId="{01E0609B-676C-46E3-B8A3-4C99ACEF1ABD}" type="parTrans">
      <dgm:prSet/>
      <dgm:spPr/>
    </dgm:pt>
    <dgm:pt modelId="{9E869179-40FD-4ADD-9F06-CF4EA2FAF5F9}" cxnId="{01E0609B-676C-46E3-B8A3-4C99ACEF1ABD}" type="sibTrans">
      <dgm:prSet/>
      <dgm:spPr/>
    </dgm:pt>
    <dgm:pt modelId="{E467089F-C89F-4E98-A26E-533D66BBF826}">
      <dgm:prSet phldr="0" custT="1"/>
      <dgm:spPr/>
      <dgm:t>
        <a:bodyPr vert="horz" wrap="square"/>
        <a:p>
          <a:pPr>
            <a:lnSpc>
              <a:spcPct val="100000"/>
            </a:lnSpc>
            <a:spcBef>
              <a:spcPct val="0"/>
            </a:spcBef>
            <a:spcAft>
              <a:spcPct val="15000"/>
            </a:spcAft>
          </a:pPr>
          <a:r>
            <a:rPr lang="zh-CN" altLang="en-US" sz="1000"/>
            <a:t>扶贫安居</a:t>
          </a:r>
          <a:r>
            <a:rPr lang="zh-CN" altLang="en-US" sz="1000"/>
            <a:t/>
          </a:r>
          <a:endParaRPr lang="zh-CN" altLang="en-US" sz="1000"/>
        </a:p>
      </dgm:t>
    </dgm:pt>
    <dgm:pt modelId="{73B1ED51-E459-4904-BC36-91321EE90A4C}" cxnId="{FAD40299-59EA-45D2-AE79-A92E0CD36DD4}" type="parTrans">
      <dgm:prSet/>
      <dgm:spPr/>
    </dgm:pt>
    <dgm:pt modelId="{3A31BB3A-11CE-42B8-AA6E-F8F4FC38B5E1}" cxnId="{FAD40299-59EA-45D2-AE79-A92E0CD36DD4}" type="sibTrans">
      <dgm:prSet/>
      <dgm:spPr/>
    </dgm:pt>
    <dgm:pt modelId="{B349FD2E-4A90-427F-8442-13222811DC7E}">
      <dgm:prSet phldrT="[文本]" phldr="0" custT="1"/>
      <dgm:spPr/>
      <dgm:t>
        <a:bodyPr vert="horz" wrap="square"/>
        <a:p>
          <a:pPr>
            <a:lnSpc>
              <a:spcPct val="100000"/>
            </a:lnSpc>
            <a:spcBef>
              <a:spcPct val="0"/>
            </a:spcBef>
            <a:spcAft>
              <a:spcPct val="35000"/>
            </a:spcAft>
          </a:pPr>
          <a:r>
            <a:rPr lang="en-US" altLang="zh-CN" sz="1050"/>
            <a:t>2019-2020</a:t>
          </a:r>
          <a:r>
            <a:rPr lang="zh-CN" altLang="en-US" sz="1050"/>
            <a:t>年</a:t>
          </a:r>
          <a:r>
            <a:rPr lang="zh-CN" altLang="en-US" sz="1050"/>
            <a:t/>
          </a:r>
          <a:endParaRPr lang="zh-CN" altLang="en-US" sz="1050"/>
        </a:p>
      </dgm:t>
    </dgm:pt>
    <dgm:pt modelId="{81F9B442-B301-4CE5-9F77-41783846C51D}" cxnId="{DAA05F18-99A2-4231-94A3-F8B04DA28BE6}" type="parTrans">
      <dgm:prSet/>
      <dgm:spPr/>
      <dgm:t>
        <a:bodyPr/>
        <a:p>
          <a:endParaRPr lang="zh-CN" altLang="en-US"/>
        </a:p>
      </dgm:t>
    </dgm:pt>
    <dgm:pt modelId="{6C33D960-524C-4E19-9279-0E1D8AB4608A}" cxnId="{DAA05F18-99A2-4231-94A3-F8B04DA28BE6}" type="sibTrans">
      <dgm:prSet/>
      <dgm:spPr/>
      <dgm:t>
        <a:bodyPr/>
        <a:p>
          <a:endParaRPr lang="zh-CN" altLang="en-US"/>
        </a:p>
      </dgm:t>
    </dgm:pt>
    <dgm:pt modelId="{11EC3D9D-CABC-4F6B-8311-51EC9AF94B05}">
      <dgm:prSet phldrT="[文本]" phldr="0" custT="1"/>
      <dgm:spPr/>
      <dgm:t>
        <a:bodyPr vert="horz" wrap="square"/>
        <a:p>
          <a:pPr>
            <a:lnSpc>
              <a:spcPct val="100000"/>
            </a:lnSpc>
            <a:spcBef>
              <a:spcPct val="0"/>
            </a:spcBef>
            <a:spcAft>
              <a:spcPct val="15000"/>
            </a:spcAft>
          </a:pPr>
          <a:r>
            <a:rPr lang="zh-CN" altLang="en-US" sz="1000"/>
            <a:t>意外伤</a:t>
          </a:r>
          <a:r>
            <a:rPr lang="en-US" altLang="zh-CN" sz="1000"/>
            <a:t>/</a:t>
          </a:r>
          <a:r>
            <a:rPr lang="zh-CN" altLang="en-US" sz="1000"/>
            <a:t>灾害救助</a:t>
          </a:r>
          <a:r>
            <a:rPr lang="zh-CN" altLang="en-US" sz="1000"/>
            <a:t/>
          </a:r>
          <a:endParaRPr lang="zh-CN" altLang="en-US" sz="1000"/>
        </a:p>
      </dgm:t>
    </dgm:pt>
    <dgm:pt modelId="{4CB9D39E-D2E7-4AB1-8C35-13DBC76F1E1B}" cxnId="{3E30FE85-27DE-4914-99A7-808DEC7EFC2F}" type="parTrans">
      <dgm:prSet/>
      <dgm:spPr/>
      <dgm:t>
        <a:bodyPr/>
        <a:p>
          <a:endParaRPr lang="zh-CN" altLang="en-US"/>
        </a:p>
      </dgm:t>
    </dgm:pt>
    <dgm:pt modelId="{49A756A8-869C-486D-A1C2-A9179C82C574}" cxnId="{3E30FE85-27DE-4914-99A7-808DEC7EFC2F}" type="sibTrans">
      <dgm:prSet/>
      <dgm:spPr/>
      <dgm:t>
        <a:bodyPr/>
        <a:p>
          <a:endParaRPr lang="zh-CN" altLang="en-US"/>
        </a:p>
      </dgm:t>
    </dgm:pt>
    <dgm:pt modelId="{38ABEB1B-49C2-454F-A4CF-F8A09FE08F72}">
      <dgm:prSet phldr="0" custT="1"/>
      <dgm:spPr/>
      <dgm:t>
        <a:bodyPr vert="horz" wrap="square"/>
        <a:p>
          <a:pPr>
            <a:lnSpc>
              <a:spcPct val="100000"/>
            </a:lnSpc>
            <a:spcBef>
              <a:spcPct val="0"/>
            </a:spcBef>
            <a:spcAft>
              <a:spcPct val="15000"/>
            </a:spcAft>
          </a:pPr>
          <a:r>
            <a:rPr lang="zh-CN" altLang="en-US" sz="1000"/>
            <a:t>扶困就医</a:t>
          </a:r>
          <a:r>
            <a:rPr lang="zh-CN" altLang="en-US" sz="1000"/>
            <a:t/>
          </a:r>
          <a:endParaRPr lang="zh-CN" altLang="en-US" sz="1000"/>
        </a:p>
      </dgm:t>
    </dgm:pt>
    <dgm:pt modelId="{8A390F8F-CECD-4708-9A58-D22D470A5410}" cxnId="{F7AEAC94-1645-4594-8BFB-45FD7B288884}" type="parTrans">
      <dgm:prSet/>
      <dgm:spPr/>
    </dgm:pt>
    <dgm:pt modelId="{3C7A38FC-1981-4A63-9CA0-416EC87635D4}" cxnId="{F7AEAC94-1645-4594-8BFB-45FD7B288884}" type="sibTrans">
      <dgm:prSet/>
      <dgm:spPr/>
    </dgm:pt>
    <dgm:pt modelId="{3F8C883B-CCF5-4FDF-B0F7-15D906610DCC}">
      <dgm:prSet phldr="0" custT="1"/>
      <dgm:spPr/>
      <dgm:t>
        <a:bodyPr vert="horz" wrap="square"/>
        <a:p>
          <a:pPr>
            <a:lnSpc>
              <a:spcPct val="100000"/>
            </a:lnSpc>
            <a:spcBef>
              <a:spcPct val="0"/>
            </a:spcBef>
            <a:spcAft>
              <a:spcPct val="15000"/>
            </a:spcAft>
          </a:pPr>
          <a:r>
            <a:rPr lang="zh-CN" altLang="en-US" sz="1000"/>
            <a:t>扶贫安居</a:t>
          </a:r>
          <a:r>
            <a:rPr lang="zh-CN" altLang="en-US" sz="1000"/>
            <a:t/>
          </a:r>
          <a:endParaRPr lang="zh-CN" altLang="en-US" sz="1000"/>
        </a:p>
      </dgm:t>
    </dgm:pt>
    <dgm:pt modelId="{3F89FD5E-6401-481D-B471-04153AB9FFCF}" cxnId="{DF9A0E7D-B5FA-48D9-927E-E4F5EDC60C03}" type="parTrans">
      <dgm:prSet/>
      <dgm:spPr/>
    </dgm:pt>
    <dgm:pt modelId="{FB868853-EA0E-4AD6-86F5-1DEDBC8A84D8}" cxnId="{DF9A0E7D-B5FA-48D9-927E-E4F5EDC60C03}" type="sibTrans">
      <dgm:prSet/>
      <dgm:spPr/>
    </dgm:pt>
    <dgm:pt modelId="{7DD7ACFD-0A6B-4089-9300-1A1E99A62490}">
      <dgm:prSet phldr="0" custT="1"/>
      <dgm:spPr/>
      <dgm:t>
        <a:bodyPr vert="horz" wrap="square"/>
        <a:p>
          <a:pPr>
            <a:lnSpc>
              <a:spcPct val="100000"/>
            </a:lnSpc>
            <a:spcBef>
              <a:spcPct val="0"/>
            </a:spcBef>
            <a:spcAft>
              <a:spcPct val="15000"/>
            </a:spcAft>
          </a:pPr>
          <a:r>
            <a:rPr lang="zh-CN" altLang="en-US" sz="1000"/>
            <a:t>扶智助学</a:t>
          </a:r>
          <a:r>
            <a:rPr lang="zh-CN" altLang="en-US" sz="1000"/>
            <a:t/>
          </a:r>
          <a:endParaRPr lang="zh-CN" altLang="en-US" sz="1000"/>
        </a:p>
      </dgm:t>
    </dgm:pt>
    <dgm:pt modelId="{2C446D4D-F5F8-4BC0-B0AA-5F64E0FB805A}" cxnId="{4622F06A-F887-4E07-9CA7-BB8FA299AE07}" type="parTrans">
      <dgm:prSet/>
      <dgm:spPr/>
    </dgm:pt>
    <dgm:pt modelId="{F23E2D2A-3047-48A4-827D-DD0FE163B372}" cxnId="{4622F06A-F887-4E07-9CA7-BB8FA299AE07}" type="sibTrans">
      <dgm:prSet/>
      <dgm:spPr/>
    </dgm:pt>
    <dgm:pt modelId="{B3EC3E64-78F9-4471-9D96-9671675006A9}">
      <dgm:prSet phldr="0" custT="1"/>
      <dgm:spPr/>
      <dgm:t>
        <a:bodyPr vert="horz" wrap="square"/>
        <a:p>
          <a:pPr>
            <a:lnSpc>
              <a:spcPct val="100000"/>
            </a:lnSpc>
            <a:spcBef>
              <a:spcPct val="0"/>
            </a:spcBef>
            <a:spcAft>
              <a:spcPct val="15000"/>
            </a:spcAft>
          </a:pPr>
          <a:r>
            <a:rPr lang="zh-CN" altLang="en-US" sz="1000"/>
            <a:t>社区救助</a:t>
          </a:r>
          <a:r>
            <a:rPr lang="zh-CN" altLang="en-US" sz="1000"/>
            <a:t/>
          </a:r>
          <a:endParaRPr lang="zh-CN" altLang="en-US" sz="1000"/>
        </a:p>
      </dgm:t>
    </dgm:pt>
    <dgm:pt modelId="{77D8761D-A9D8-4401-A2C7-D72816B320E8}" cxnId="{98531985-7519-4F8D-864B-A99499AAA3B7}" type="parTrans">
      <dgm:prSet/>
      <dgm:spPr/>
    </dgm:pt>
    <dgm:pt modelId="{4E1E78AD-4EBA-4288-853A-0E7C1D6CDB48}" cxnId="{98531985-7519-4F8D-864B-A99499AAA3B7}" type="sibTrans">
      <dgm:prSet/>
      <dgm:spPr/>
    </dgm:pt>
    <dgm:pt modelId="{F626C507-CF43-4996-B1A2-82E27074AFC8}">
      <dgm:prSet phldr="0" custT="1"/>
      <dgm:spPr/>
      <dgm:t>
        <a:bodyPr vert="horz" wrap="square"/>
        <a:p>
          <a:pPr>
            <a:lnSpc>
              <a:spcPct val="100000"/>
            </a:lnSpc>
            <a:spcBef>
              <a:spcPct val="0"/>
            </a:spcBef>
            <a:spcAft>
              <a:spcPct val="15000"/>
            </a:spcAft>
          </a:pPr>
          <a:r>
            <a:rPr lang="zh-CN" altLang="en-US" sz="1000"/>
            <a:t>急难众筹</a:t>
          </a:r>
          <a:r>
            <a:rPr lang="zh-CN" altLang="en-US" sz="800"/>
            <a:t/>
          </a:r>
          <a:endParaRPr lang="zh-CN" altLang="en-US" sz="800"/>
        </a:p>
      </dgm:t>
    </dgm:pt>
    <dgm:pt modelId="{64E783D4-2700-4ECB-A864-A8488CD02559}" cxnId="{313F5A3C-3187-4A58-8CE1-552E5EE1E6DD}" type="parTrans">
      <dgm:prSet/>
      <dgm:spPr/>
    </dgm:pt>
    <dgm:pt modelId="{BEC177F5-BF00-415B-A1F3-366C42580A96}" cxnId="{313F5A3C-3187-4A58-8CE1-552E5EE1E6DD}" type="sibTrans">
      <dgm:prSet/>
      <dgm:spPr/>
    </dgm:pt>
    <dgm:pt modelId="{0C5B8EDA-BC83-4C0D-BA5D-80859B5A725F}">
      <dgm:prSet phldr="0" custT="1"/>
      <dgm:spPr/>
      <dgm:t>
        <a:bodyPr vert="horz" wrap="square"/>
        <a:p>
          <a:pPr>
            <a:lnSpc>
              <a:spcPct val="100000"/>
            </a:lnSpc>
            <a:spcBef>
              <a:spcPct val="0"/>
            </a:spcBef>
            <a:spcAft>
              <a:spcPct val="15000"/>
            </a:spcAft>
          </a:pPr>
          <a:r>
            <a:rPr lang="zh-CN" altLang="en-US" sz="800"/>
            <a:t/>
          </a:r>
          <a:endParaRPr lang="zh-CN" altLang="en-US" sz="800"/>
        </a:p>
      </dgm:t>
    </dgm:pt>
    <dgm:pt modelId="{63A60433-336E-4766-A7FB-78E83374E438}" cxnId="{4CA6D83D-AD32-47DE-9132-3B06B7187C45}" type="parTrans">
      <dgm:prSet/>
      <dgm:spPr/>
    </dgm:pt>
    <dgm:pt modelId="{33FF5A3B-2F62-4087-9AB1-673206E78021}" cxnId="{4CA6D83D-AD32-47DE-9132-3B06B7187C45}" type="sibTrans">
      <dgm:prSet/>
      <dgm:spPr/>
    </dgm:pt>
    <dgm:pt modelId="{6600DED2-8216-4ABE-8A99-4882629E1A4D}" type="pres">
      <dgm:prSet presAssocID="{2FE6BDA1-660C-44E3-B8D3-B738986F10EC}" presName="linearFlow" presStyleCnt="0">
        <dgm:presLayoutVars>
          <dgm:dir/>
          <dgm:animLvl val="lvl"/>
          <dgm:resizeHandles val="exact"/>
        </dgm:presLayoutVars>
      </dgm:prSet>
      <dgm:spPr/>
    </dgm:pt>
    <dgm:pt modelId="{13EA64EB-AB03-4C80-9EEA-7CED2D89D89C}" type="pres">
      <dgm:prSet presAssocID="{1EC822D0-4B77-4F25-ABD5-8949AFB965C8}" presName="composite" presStyleCnt="0"/>
      <dgm:spPr/>
    </dgm:pt>
    <dgm:pt modelId="{CAF6A44E-174D-4D73-BBC0-9FC10FA804B9}" type="pres">
      <dgm:prSet presAssocID="{1EC822D0-4B77-4F25-ABD5-8949AFB965C8}" presName="parTx" presStyleCnt="0">
        <dgm:presLayoutVars>
          <dgm:chMax val="0"/>
          <dgm:chPref val="0"/>
          <dgm:bulletEnabled val="1"/>
        </dgm:presLayoutVars>
      </dgm:prSet>
      <dgm:spPr/>
    </dgm:pt>
    <dgm:pt modelId="{BEA8DFF6-0BBC-4765-94CE-726AE7249D2C}" type="pres">
      <dgm:prSet presAssocID="{1EC822D0-4B77-4F25-ABD5-8949AFB965C8}" presName="parSh" presStyleLbl="node1" presStyleIdx="0" presStyleCnt="3"/>
      <dgm:spPr/>
    </dgm:pt>
    <dgm:pt modelId="{A527D8D7-AE0F-41E2-B0A5-F384C5C9B908}" type="pres">
      <dgm:prSet presAssocID="{1EC822D0-4B77-4F25-ABD5-8949AFB965C8}" presName="desTx" presStyleLbl="fgAcc1" presStyleIdx="0" presStyleCnt="3">
        <dgm:presLayoutVars>
          <dgm:bulletEnabled val="1"/>
        </dgm:presLayoutVars>
      </dgm:prSet>
      <dgm:spPr/>
    </dgm:pt>
    <dgm:pt modelId="{21AD7683-4E21-48FB-A2B0-38429FA73B13}" type="pres">
      <dgm:prSet presAssocID="{B0C310D3-A5C4-423C-ADC0-FD305A7B421A}" presName="sibTrans" presStyleLbl="sibTrans2D1" presStyleIdx="0" presStyleCnt="2"/>
      <dgm:spPr/>
    </dgm:pt>
    <dgm:pt modelId="{1E817AA8-5A37-4644-9254-A1E7980637B5}" type="pres">
      <dgm:prSet presAssocID="{B0C310D3-A5C4-423C-ADC0-FD305A7B421A}" presName="connTx" presStyleCnt="0"/>
      <dgm:spPr/>
    </dgm:pt>
    <dgm:pt modelId="{4706D582-EEBF-4C1E-B7F4-A6D3E12D3072}" type="pres">
      <dgm:prSet presAssocID="{86FEAB3F-FBB1-46CC-9DC6-E094874805AE}" presName="composite" presStyleCnt="0"/>
      <dgm:spPr/>
    </dgm:pt>
    <dgm:pt modelId="{D8686130-E958-4F9D-9269-6FA1732D0A73}" type="pres">
      <dgm:prSet presAssocID="{86FEAB3F-FBB1-46CC-9DC6-E094874805AE}" presName="parTx" presStyleCnt="0">
        <dgm:presLayoutVars>
          <dgm:chMax val="0"/>
          <dgm:chPref val="0"/>
          <dgm:bulletEnabled val="1"/>
        </dgm:presLayoutVars>
      </dgm:prSet>
      <dgm:spPr/>
    </dgm:pt>
    <dgm:pt modelId="{4201241F-A758-4825-9A41-CBED0FF9E993}" type="pres">
      <dgm:prSet presAssocID="{86FEAB3F-FBB1-46CC-9DC6-E094874805AE}" presName="parSh" presStyleLbl="node1" presStyleIdx="1" presStyleCnt="3"/>
      <dgm:spPr/>
    </dgm:pt>
    <dgm:pt modelId="{BFC7A65B-961A-4F69-8CB3-248457E85C87}" type="pres">
      <dgm:prSet presAssocID="{86FEAB3F-FBB1-46CC-9DC6-E094874805AE}" presName="desTx" presStyleLbl="fgAcc1" presStyleIdx="1" presStyleCnt="3">
        <dgm:presLayoutVars>
          <dgm:bulletEnabled val="1"/>
        </dgm:presLayoutVars>
      </dgm:prSet>
      <dgm:spPr/>
    </dgm:pt>
    <dgm:pt modelId="{5D27C5B2-FAF5-4B9E-8CE5-8F54D12F7C36}" type="pres">
      <dgm:prSet presAssocID="{C7876883-34BD-4A68-A98E-D95D42D0FF9D}" presName="sibTrans" presStyleLbl="sibTrans2D1" presStyleIdx="1" presStyleCnt="2"/>
      <dgm:spPr/>
    </dgm:pt>
    <dgm:pt modelId="{F8D5EB2A-738F-4E50-B014-79322171C96A}" type="pres">
      <dgm:prSet presAssocID="{C7876883-34BD-4A68-A98E-D95D42D0FF9D}" presName="connTx" presStyleCnt="0"/>
      <dgm:spPr/>
    </dgm:pt>
    <dgm:pt modelId="{7908079C-B054-488F-B184-A0837979EED0}" type="pres">
      <dgm:prSet presAssocID="{B349FD2E-4A90-427F-8442-13222811DC7E}" presName="composite" presStyleCnt="0"/>
      <dgm:spPr/>
    </dgm:pt>
    <dgm:pt modelId="{C2722F97-5D1A-4260-B371-3A1E1DF124B3}" type="pres">
      <dgm:prSet presAssocID="{B349FD2E-4A90-427F-8442-13222811DC7E}" presName="parTx" presStyleCnt="0">
        <dgm:presLayoutVars>
          <dgm:chMax val="0"/>
          <dgm:chPref val="0"/>
          <dgm:bulletEnabled val="1"/>
        </dgm:presLayoutVars>
      </dgm:prSet>
      <dgm:spPr/>
    </dgm:pt>
    <dgm:pt modelId="{6EADA40E-ECF8-4EF2-9B35-A9DD5D6A50D5}" type="pres">
      <dgm:prSet presAssocID="{B349FD2E-4A90-427F-8442-13222811DC7E}" presName="parSh" presStyleLbl="node1" presStyleIdx="2" presStyleCnt="3"/>
      <dgm:spPr/>
    </dgm:pt>
    <dgm:pt modelId="{39BA4712-27E2-4423-ADD6-9F9BD3D8FB35}" type="pres">
      <dgm:prSet presAssocID="{B349FD2E-4A90-427F-8442-13222811DC7E}" presName="desTx" presStyleLbl="fgAcc1" presStyleIdx="2" presStyleCnt="3">
        <dgm:presLayoutVars>
          <dgm:bulletEnabled val="1"/>
        </dgm:presLayoutVars>
      </dgm:prSet>
      <dgm:spPr/>
    </dgm:pt>
  </dgm:ptLst>
  <dgm:cxnLst>
    <dgm:cxn modelId="{812B57A4-5E2E-41B9-AF89-2EFD1695EBCC}" srcId="{2FE6BDA1-660C-44E3-B8D3-B738986F10EC}" destId="{1EC822D0-4B77-4F25-ABD5-8949AFB965C8}" srcOrd="0" destOrd="0" parTransId="{A55FEC0B-23EE-4CFE-8050-49CBA30A17FC}" sibTransId="{B0C310D3-A5C4-423C-ADC0-FD305A7B421A}"/>
    <dgm:cxn modelId="{355139A5-4A8D-4F4A-B168-82780B8281FA}" srcId="{1EC822D0-4B77-4F25-ABD5-8949AFB965C8}" destId="{86BF0545-C8C8-404B-B317-6B71601F8310}" srcOrd="0" destOrd="0" parTransId="{A554C9B6-595F-4C42-BA2E-0AF975A6182B}" sibTransId="{8F0220D1-B873-4B1C-82E7-D1658190B6B3}"/>
    <dgm:cxn modelId="{4709CADA-E587-43B7-A770-D4C4B4C88EA7}" srcId="{1EC822D0-4B77-4F25-ABD5-8949AFB965C8}" destId="{7EC7BD30-1CF3-4E11-9B0D-9C539444BD54}" srcOrd="1" destOrd="0" parTransId="{654F522D-C364-4CA1-81EF-AD88701EC57A}" sibTransId="{79D8AE5B-7A6A-4426-883D-556636C34FAE}"/>
    <dgm:cxn modelId="{A904765D-B5E2-4FCD-8F53-B8409668F998}" srcId="{1EC822D0-4B77-4F25-ABD5-8949AFB965C8}" destId="{77805CE7-245A-485D-AABD-4A69BE75CA44}" srcOrd="2" destOrd="0" parTransId="{D269BDFA-7386-4CF4-A896-BE147E1C256C}" sibTransId="{7044C82E-6A58-477B-82A9-E7E776AF5DA5}"/>
    <dgm:cxn modelId="{E7155D33-46FC-4EB8-96F4-04F1577CEC56}" srcId="{2FE6BDA1-660C-44E3-B8D3-B738986F10EC}" destId="{86FEAB3F-FBB1-46CC-9DC6-E094874805AE}" srcOrd="1" destOrd="0" parTransId="{74C68F9B-1FC8-4F0A-8F6F-246FC86076E9}" sibTransId="{C7876883-34BD-4A68-A98E-D95D42D0FF9D}"/>
    <dgm:cxn modelId="{B58E980F-8F25-41CA-9DE5-D67AC3515EB8}" srcId="{86FEAB3F-FBB1-46CC-9DC6-E094874805AE}" destId="{972233BE-F562-42C6-8E02-C376C905A446}" srcOrd="0" destOrd="1" parTransId="{1B83FA22-B57F-4847-AF9E-FCABBD20370B}" sibTransId="{C95400EF-05CE-49A4-A439-43C3AD15FAE2}"/>
    <dgm:cxn modelId="{7E130C3A-ECDF-4878-8F64-547584DAD46C}" srcId="{86FEAB3F-FBB1-46CC-9DC6-E094874805AE}" destId="{4D6BCB4B-BAAC-4466-AEA9-E81D948043D8}" srcOrd="1" destOrd="1" parTransId="{72A7D970-B4ED-4321-BFEC-A15BF6EBBFCE}" sibTransId="{60806964-084E-4D8D-B83A-6AD84BC817BF}"/>
    <dgm:cxn modelId="{A4F8DBA1-3B48-4535-8F30-E381AD6E5603}" srcId="{86FEAB3F-FBB1-46CC-9DC6-E094874805AE}" destId="{5D4A7530-2892-4231-ADEA-B76A154FE640}" srcOrd="2" destOrd="1" parTransId="{C2270AE6-2113-4FB5-BDC8-3A657923067E}" sibTransId="{5898731A-A43A-47B4-94D6-98B6D6E66B5C}"/>
    <dgm:cxn modelId="{01E0609B-676C-46E3-B8A3-4C99ACEF1ABD}" srcId="{86FEAB3F-FBB1-46CC-9DC6-E094874805AE}" destId="{7D4BBFE9-2C2A-4C53-A3E6-AEF8CAA32CFC}" srcOrd="3" destOrd="1" parTransId="{C5CFE76B-B3CC-44D3-97EB-DF297352EFBD}" sibTransId="{9E869179-40FD-4ADD-9F06-CF4EA2FAF5F9}"/>
    <dgm:cxn modelId="{FAD40299-59EA-45D2-AE79-A92E0CD36DD4}" srcId="{86FEAB3F-FBB1-46CC-9DC6-E094874805AE}" destId="{E467089F-C89F-4E98-A26E-533D66BBF826}" srcOrd="4" destOrd="1" parTransId="{73B1ED51-E459-4904-BC36-91321EE90A4C}" sibTransId="{3A31BB3A-11CE-42B8-AA6E-F8F4FC38B5E1}"/>
    <dgm:cxn modelId="{DAA05F18-99A2-4231-94A3-F8B04DA28BE6}" srcId="{2FE6BDA1-660C-44E3-B8D3-B738986F10EC}" destId="{B349FD2E-4A90-427F-8442-13222811DC7E}" srcOrd="2" destOrd="0" parTransId="{81F9B442-B301-4CE5-9F77-41783846C51D}" sibTransId="{6C33D960-524C-4E19-9279-0E1D8AB4608A}"/>
    <dgm:cxn modelId="{3E30FE85-27DE-4914-99A7-808DEC7EFC2F}" srcId="{B349FD2E-4A90-427F-8442-13222811DC7E}" destId="{11EC3D9D-CABC-4F6B-8311-51EC9AF94B05}" srcOrd="0" destOrd="2" parTransId="{4CB9D39E-D2E7-4AB1-8C35-13DBC76F1E1B}" sibTransId="{49A756A8-869C-486D-A1C2-A9179C82C574}"/>
    <dgm:cxn modelId="{F7AEAC94-1645-4594-8BFB-45FD7B288884}" srcId="{B349FD2E-4A90-427F-8442-13222811DC7E}" destId="{38ABEB1B-49C2-454F-A4CF-F8A09FE08F72}" srcOrd="1" destOrd="2" parTransId="{8A390F8F-CECD-4708-9A58-D22D470A5410}" sibTransId="{3C7A38FC-1981-4A63-9CA0-416EC87635D4}"/>
    <dgm:cxn modelId="{DF9A0E7D-B5FA-48D9-927E-E4F5EDC60C03}" srcId="{B349FD2E-4A90-427F-8442-13222811DC7E}" destId="{3F8C883B-CCF5-4FDF-B0F7-15D906610DCC}" srcOrd="2" destOrd="2" parTransId="{3F89FD5E-6401-481D-B471-04153AB9FFCF}" sibTransId="{FB868853-EA0E-4AD6-86F5-1DEDBC8A84D8}"/>
    <dgm:cxn modelId="{4622F06A-F887-4E07-9CA7-BB8FA299AE07}" srcId="{B349FD2E-4A90-427F-8442-13222811DC7E}" destId="{7DD7ACFD-0A6B-4089-9300-1A1E99A62490}" srcOrd="3" destOrd="2" parTransId="{2C446D4D-F5F8-4BC0-B0AA-5F64E0FB805A}" sibTransId="{F23E2D2A-3047-48A4-827D-DD0FE163B372}"/>
    <dgm:cxn modelId="{98531985-7519-4F8D-864B-A99499AAA3B7}" srcId="{B349FD2E-4A90-427F-8442-13222811DC7E}" destId="{B3EC3E64-78F9-4471-9D96-9671675006A9}" srcOrd="4" destOrd="2" parTransId="{77D8761D-A9D8-4401-A2C7-D72816B320E8}" sibTransId="{4E1E78AD-4EBA-4288-853A-0E7C1D6CDB48}"/>
    <dgm:cxn modelId="{313F5A3C-3187-4A58-8CE1-552E5EE1E6DD}" srcId="{B349FD2E-4A90-427F-8442-13222811DC7E}" destId="{F626C507-CF43-4996-B1A2-82E27074AFC8}" srcOrd="5" destOrd="2" parTransId="{64E783D4-2700-4ECB-A864-A8488CD02559}" sibTransId="{BEC177F5-BF00-415B-A1F3-366C42580A96}"/>
    <dgm:cxn modelId="{4CA6D83D-AD32-47DE-9132-3B06B7187C45}" srcId="{B349FD2E-4A90-427F-8442-13222811DC7E}" destId="{0C5B8EDA-BC83-4C0D-BA5D-80859B5A725F}" srcOrd="6" destOrd="2" parTransId="{63A60433-336E-4766-A7FB-78E83374E438}" sibTransId="{33FF5A3B-2F62-4087-9AB1-673206E78021}"/>
    <dgm:cxn modelId="{7D63B09C-6635-402C-8B2F-73116848DDFB}" type="presOf" srcId="{2FE6BDA1-660C-44E3-B8D3-B738986F10EC}" destId="{6600DED2-8216-4ABE-8A99-4882629E1A4D}" srcOrd="0" destOrd="0" presId="urn:microsoft.com/office/officeart/2005/8/layout/process3"/>
    <dgm:cxn modelId="{4CA8584C-2ED9-48D4-8CE4-B1F2CDE5D2F6}" type="presParOf" srcId="{6600DED2-8216-4ABE-8A99-4882629E1A4D}" destId="{13EA64EB-AB03-4C80-9EEA-7CED2D89D89C}" srcOrd="0" destOrd="0" presId="urn:microsoft.com/office/officeart/2005/8/layout/process3"/>
    <dgm:cxn modelId="{89F2D445-3DCF-4336-89CF-F1878C0F8DB1}" type="presParOf" srcId="{13EA64EB-AB03-4C80-9EEA-7CED2D89D89C}" destId="{CAF6A44E-174D-4D73-BBC0-9FC10FA804B9}" srcOrd="0" destOrd="0" presId="urn:microsoft.com/office/officeart/2005/8/layout/process3"/>
    <dgm:cxn modelId="{0458AD6D-0EE2-4180-9965-732004AFCA73}" type="presOf" srcId="{1EC822D0-4B77-4F25-ABD5-8949AFB965C8}" destId="{CAF6A44E-174D-4D73-BBC0-9FC10FA804B9}" srcOrd="1" destOrd="0" presId="urn:microsoft.com/office/officeart/2005/8/layout/process3"/>
    <dgm:cxn modelId="{FF3FA6D1-8416-4A9B-B57F-76E04CD98338}" type="presParOf" srcId="{13EA64EB-AB03-4C80-9EEA-7CED2D89D89C}" destId="{BEA8DFF6-0BBC-4765-94CE-726AE7249D2C}" srcOrd="1" destOrd="0" presId="urn:microsoft.com/office/officeart/2005/8/layout/process3"/>
    <dgm:cxn modelId="{900B49C8-1BB5-48E5-BDCC-4CB42C51DC39}" type="presOf" srcId="{1EC822D0-4B77-4F25-ABD5-8949AFB965C8}" destId="{BEA8DFF6-0BBC-4765-94CE-726AE7249D2C}" srcOrd="0" destOrd="0" presId="urn:microsoft.com/office/officeart/2005/8/layout/process3"/>
    <dgm:cxn modelId="{463B5461-D025-4467-9610-21F02643923C}" type="presParOf" srcId="{13EA64EB-AB03-4C80-9EEA-7CED2D89D89C}" destId="{A527D8D7-AE0F-41E2-B0A5-F384C5C9B908}" srcOrd="2" destOrd="0" presId="urn:microsoft.com/office/officeart/2005/8/layout/process3"/>
    <dgm:cxn modelId="{46EEFCF4-C214-45BE-92FC-54180424A2FD}" type="presOf" srcId="{86BF0545-C8C8-404B-B317-6B71601F8310}" destId="{A527D8D7-AE0F-41E2-B0A5-F384C5C9B908}" srcOrd="0" destOrd="0" presId="urn:microsoft.com/office/officeart/2005/8/layout/process3"/>
    <dgm:cxn modelId="{80081584-8B11-4891-BC08-2B583C1BB569}" type="presOf" srcId="{7EC7BD30-1CF3-4E11-9B0D-9C539444BD54}" destId="{A527D8D7-AE0F-41E2-B0A5-F384C5C9B908}" srcOrd="0" destOrd="1" presId="urn:microsoft.com/office/officeart/2005/8/layout/process3"/>
    <dgm:cxn modelId="{2180B0CB-07BE-4581-BA00-12A9A46C2EC0}" type="presOf" srcId="{77805CE7-245A-485D-AABD-4A69BE75CA44}" destId="{A527D8D7-AE0F-41E2-B0A5-F384C5C9B908}" srcOrd="0" destOrd="2" presId="urn:microsoft.com/office/officeart/2005/8/layout/process3"/>
    <dgm:cxn modelId="{3EFCE5C9-4364-4C0D-A7E7-DF940A20CB99}" type="presParOf" srcId="{6600DED2-8216-4ABE-8A99-4882629E1A4D}" destId="{21AD7683-4E21-48FB-A2B0-38429FA73B13}" srcOrd="1" destOrd="0" presId="urn:microsoft.com/office/officeart/2005/8/layout/process3"/>
    <dgm:cxn modelId="{E88001F1-74C9-4725-873F-F82F0D007D95}" type="presOf" srcId="{B0C310D3-A5C4-423C-ADC0-FD305A7B421A}" destId="{21AD7683-4E21-48FB-A2B0-38429FA73B13}" srcOrd="0" destOrd="0" presId="urn:microsoft.com/office/officeart/2005/8/layout/process3"/>
    <dgm:cxn modelId="{294DC819-0C78-49F4-9A6D-52FA287F9DD6}" type="presParOf" srcId="{21AD7683-4E21-48FB-A2B0-38429FA73B13}" destId="{1E817AA8-5A37-4644-9254-A1E7980637B5}" srcOrd="0" destOrd="1" presId="urn:microsoft.com/office/officeart/2005/8/layout/process3"/>
    <dgm:cxn modelId="{7C3757EA-F6BA-42E3-BE02-EC8AAD889924}" type="presOf" srcId="{B0C310D3-A5C4-423C-ADC0-FD305A7B421A}" destId="{1E817AA8-5A37-4644-9254-A1E7980637B5}" srcOrd="1" destOrd="0" presId="urn:microsoft.com/office/officeart/2005/8/layout/process3"/>
    <dgm:cxn modelId="{2E563A3A-74F9-471C-B91F-D184C5AEB432}" type="presParOf" srcId="{6600DED2-8216-4ABE-8A99-4882629E1A4D}" destId="{4706D582-EEBF-4C1E-B7F4-A6D3E12D3072}" srcOrd="2" destOrd="0" presId="urn:microsoft.com/office/officeart/2005/8/layout/process3"/>
    <dgm:cxn modelId="{293D0A13-A327-41EB-9205-D5FB3FEE2137}" type="presParOf" srcId="{4706D582-EEBF-4C1E-B7F4-A6D3E12D3072}" destId="{D8686130-E958-4F9D-9269-6FA1732D0A73}" srcOrd="0" destOrd="2" presId="urn:microsoft.com/office/officeart/2005/8/layout/process3"/>
    <dgm:cxn modelId="{81A9405C-9484-4717-AA15-9B209471DEED}" type="presOf" srcId="{86FEAB3F-FBB1-46CC-9DC6-E094874805AE}" destId="{D8686130-E958-4F9D-9269-6FA1732D0A73}" srcOrd="1" destOrd="0" presId="urn:microsoft.com/office/officeart/2005/8/layout/process3"/>
    <dgm:cxn modelId="{A32E7F3E-C783-4228-B0BF-3676B26B47D2}" type="presParOf" srcId="{4706D582-EEBF-4C1E-B7F4-A6D3E12D3072}" destId="{4201241F-A758-4825-9A41-CBED0FF9E993}" srcOrd="1" destOrd="2" presId="urn:microsoft.com/office/officeart/2005/8/layout/process3"/>
    <dgm:cxn modelId="{F748A14A-EA60-4599-A7DE-694F96D456A8}" type="presOf" srcId="{86FEAB3F-FBB1-46CC-9DC6-E094874805AE}" destId="{4201241F-A758-4825-9A41-CBED0FF9E993}" srcOrd="0" destOrd="0" presId="urn:microsoft.com/office/officeart/2005/8/layout/process3"/>
    <dgm:cxn modelId="{89C1F6EC-37F9-4891-9821-41F96F2A651D}" type="presParOf" srcId="{4706D582-EEBF-4C1E-B7F4-A6D3E12D3072}" destId="{BFC7A65B-961A-4F69-8CB3-248457E85C87}" srcOrd="2" destOrd="2" presId="urn:microsoft.com/office/officeart/2005/8/layout/process3"/>
    <dgm:cxn modelId="{E94297DE-09EB-4D06-829F-27EBA143B3E2}" type="presOf" srcId="{972233BE-F562-42C6-8E02-C376C905A446}" destId="{BFC7A65B-961A-4F69-8CB3-248457E85C87}" srcOrd="0" destOrd="0" presId="urn:microsoft.com/office/officeart/2005/8/layout/process3"/>
    <dgm:cxn modelId="{39E7D986-AEA6-4FC1-963C-824B200365DB}" type="presOf" srcId="{4D6BCB4B-BAAC-4466-AEA9-E81D948043D8}" destId="{BFC7A65B-961A-4F69-8CB3-248457E85C87}" srcOrd="0" destOrd="1" presId="urn:microsoft.com/office/officeart/2005/8/layout/process3"/>
    <dgm:cxn modelId="{65A2B1E0-88D4-44B8-970C-56F8F40AEC91}" type="presOf" srcId="{5D4A7530-2892-4231-ADEA-B76A154FE640}" destId="{BFC7A65B-961A-4F69-8CB3-248457E85C87}" srcOrd="0" destOrd="2" presId="urn:microsoft.com/office/officeart/2005/8/layout/process3"/>
    <dgm:cxn modelId="{5CDF28D4-8EE1-4009-B4CF-01218EDB1166}" type="presOf" srcId="{7D4BBFE9-2C2A-4C53-A3E6-AEF8CAA32CFC}" destId="{BFC7A65B-961A-4F69-8CB3-248457E85C87}" srcOrd="0" destOrd="3" presId="urn:microsoft.com/office/officeart/2005/8/layout/process3"/>
    <dgm:cxn modelId="{3C7C0C55-E39A-4BD1-9DA8-74883D9CF3FB}" type="presOf" srcId="{E467089F-C89F-4E98-A26E-533D66BBF826}" destId="{BFC7A65B-961A-4F69-8CB3-248457E85C87}" srcOrd="0" destOrd="4" presId="urn:microsoft.com/office/officeart/2005/8/layout/process3"/>
    <dgm:cxn modelId="{0D505205-6266-414D-AA6D-B2D0891B1C38}" type="presParOf" srcId="{6600DED2-8216-4ABE-8A99-4882629E1A4D}" destId="{5D27C5B2-FAF5-4B9E-8CE5-8F54D12F7C36}" srcOrd="3" destOrd="0" presId="urn:microsoft.com/office/officeart/2005/8/layout/process3"/>
    <dgm:cxn modelId="{B1B3B48F-504A-4BFC-8C37-C45F70F7BDD1}" type="presOf" srcId="{C7876883-34BD-4A68-A98E-D95D42D0FF9D}" destId="{5D27C5B2-FAF5-4B9E-8CE5-8F54D12F7C36}" srcOrd="0" destOrd="0" presId="urn:microsoft.com/office/officeart/2005/8/layout/process3"/>
    <dgm:cxn modelId="{BBFB1201-155A-400F-B250-016B606DAD2C}" type="presParOf" srcId="{5D27C5B2-FAF5-4B9E-8CE5-8F54D12F7C36}" destId="{F8D5EB2A-738F-4E50-B014-79322171C96A}" srcOrd="0" destOrd="3" presId="urn:microsoft.com/office/officeart/2005/8/layout/process3"/>
    <dgm:cxn modelId="{86CB538E-5AAF-41B5-B8E0-D8D244CE39DE}" type="presOf" srcId="{C7876883-34BD-4A68-A98E-D95D42D0FF9D}" destId="{F8D5EB2A-738F-4E50-B014-79322171C96A}" srcOrd="1" destOrd="0" presId="urn:microsoft.com/office/officeart/2005/8/layout/process3"/>
    <dgm:cxn modelId="{74D1CDFB-DE79-4377-89B7-DFD599EA7804}" type="presParOf" srcId="{6600DED2-8216-4ABE-8A99-4882629E1A4D}" destId="{7908079C-B054-488F-B184-A0837979EED0}" srcOrd="4" destOrd="0" presId="urn:microsoft.com/office/officeart/2005/8/layout/process3"/>
    <dgm:cxn modelId="{08AB0BBE-A75F-449C-B11B-2770762F06AB}" type="presParOf" srcId="{7908079C-B054-488F-B184-A0837979EED0}" destId="{C2722F97-5D1A-4260-B371-3A1E1DF124B3}" srcOrd="0" destOrd="4" presId="urn:microsoft.com/office/officeart/2005/8/layout/process3"/>
    <dgm:cxn modelId="{0DDE0496-D39A-4999-8A3F-DF142405BB1C}" type="presOf" srcId="{B349FD2E-4A90-427F-8442-13222811DC7E}" destId="{C2722F97-5D1A-4260-B371-3A1E1DF124B3}" srcOrd="1" destOrd="0" presId="urn:microsoft.com/office/officeart/2005/8/layout/process3"/>
    <dgm:cxn modelId="{C792CD14-8D09-423D-A15E-FCB59277CEC3}" type="presParOf" srcId="{7908079C-B054-488F-B184-A0837979EED0}" destId="{6EADA40E-ECF8-4EF2-9B35-A9DD5D6A50D5}" srcOrd="1" destOrd="4" presId="urn:microsoft.com/office/officeart/2005/8/layout/process3"/>
    <dgm:cxn modelId="{E53FF191-7520-4D1C-923A-693568C6DA99}" type="presOf" srcId="{B349FD2E-4A90-427F-8442-13222811DC7E}" destId="{6EADA40E-ECF8-4EF2-9B35-A9DD5D6A50D5}" srcOrd="0" destOrd="0" presId="urn:microsoft.com/office/officeart/2005/8/layout/process3"/>
    <dgm:cxn modelId="{DC200A20-A822-4C87-B6FC-4A17A81C2DCF}" type="presParOf" srcId="{7908079C-B054-488F-B184-A0837979EED0}" destId="{39BA4712-27E2-4423-ADD6-9F9BD3D8FB35}" srcOrd="2" destOrd="4" presId="urn:microsoft.com/office/officeart/2005/8/layout/process3"/>
    <dgm:cxn modelId="{D3733DF2-204D-48D8-B6EB-9644217F5BF6}" type="presOf" srcId="{11EC3D9D-CABC-4F6B-8311-51EC9AF94B05}" destId="{39BA4712-27E2-4423-ADD6-9F9BD3D8FB35}" srcOrd="0" destOrd="0" presId="urn:microsoft.com/office/officeart/2005/8/layout/process3"/>
    <dgm:cxn modelId="{4531932E-492C-47B6-91FE-7ABDCD17A076}" type="presOf" srcId="{38ABEB1B-49C2-454F-A4CF-F8A09FE08F72}" destId="{39BA4712-27E2-4423-ADD6-9F9BD3D8FB35}" srcOrd="0" destOrd="1" presId="urn:microsoft.com/office/officeart/2005/8/layout/process3"/>
    <dgm:cxn modelId="{B957E402-9BFB-421A-BA2D-DE4FD48B2AB8}" type="presOf" srcId="{3F8C883B-CCF5-4FDF-B0F7-15D906610DCC}" destId="{39BA4712-27E2-4423-ADD6-9F9BD3D8FB35}" srcOrd="0" destOrd="2" presId="urn:microsoft.com/office/officeart/2005/8/layout/process3"/>
    <dgm:cxn modelId="{2BB5EF84-18DC-4802-98E6-E84D08C0C6C0}" type="presOf" srcId="{7DD7ACFD-0A6B-4089-9300-1A1E99A62490}" destId="{39BA4712-27E2-4423-ADD6-9F9BD3D8FB35}" srcOrd="0" destOrd="3" presId="urn:microsoft.com/office/officeart/2005/8/layout/process3"/>
    <dgm:cxn modelId="{B1A91DE7-7F24-4B0B-9DE4-56440CD70CF5}" type="presOf" srcId="{B3EC3E64-78F9-4471-9D96-9671675006A9}" destId="{39BA4712-27E2-4423-ADD6-9F9BD3D8FB35}" srcOrd="0" destOrd="4" presId="urn:microsoft.com/office/officeart/2005/8/layout/process3"/>
    <dgm:cxn modelId="{E677926C-0FEA-4539-B3BF-2F31116A6D25}" type="presOf" srcId="{F626C507-CF43-4996-B1A2-82E27074AFC8}" destId="{39BA4712-27E2-4423-ADD6-9F9BD3D8FB35}" srcOrd="0" destOrd="5" presId="urn:microsoft.com/office/officeart/2005/8/layout/process3"/>
    <dgm:cxn modelId="{9CB140F2-8B2A-4AF5-9EDD-A013F5CE7C2A}" type="presOf" srcId="{0C5B8EDA-BC83-4C0D-BA5D-80859B5A725F}" destId="{39BA4712-27E2-4423-ADD6-9F9BD3D8FB35}" srcOrd="0" destOrd="6" presId="urn:microsoft.com/office/officeart/2005/8/layout/process3"/>
  </dgm:cxnLst>
  <dgm:bg/>
  <dgm:whole/>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6241415" cy="1564005"/>
        <a:chOff x="0" y="0"/>
        <a:chExt cx="6241415" cy="1564005"/>
      </a:xfrm>
    </dsp:grpSpPr>
    <dsp:sp modelId="{BEA8DFF6-0BBC-4765-94CE-726AE7249D2C}">
      <dsp:nvSpPr>
        <dsp:cNvPr id="3" name="圆角矩形 2"/>
        <dsp:cNvSpPr/>
      </dsp:nvSpPr>
      <dsp:spPr bwMode="white">
        <a:xfrm>
          <a:off x="0" y="47602"/>
          <a:ext cx="1412855" cy="734400"/>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vert="horz" wrap="square" lIns="120904" tIns="120904" rIns="120904" bIns="64769" anchor="t"/>
        <a:lstStyle>
          <a:lvl1pPr algn="l">
            <a:defRPr sz="1700"/>
          </a:lvl1pPr>
          <a:lvl2pPr marL="114300" indent="-114300" algn="l">
            <a:defRPr sz="1300"/>
          </a:lvl2pPr>
          <a:lvl3pPr marL="228600" indent="-114300" algn="l">
            <a:defRPr sz="1300"/>
          </a:lvl3pPr>
          <a:lvl4pPr marL="342900" indent="-114300" algn="l">
            <a:defRPr sz="1300"/>
          </a:lvl4pPr>
          <a:lvl5pPr marL="457200" indent="-114300" algn="l">
            <a:defRPr sz="1300"/>
          </a:lvl5pPr>
          <a:lvl6pPr marL="571500" indent="-114300" algn="l">
            <a:defRPr sz="1300"/>
          </a:lvl6pPr>
          <a:lvl7pPr marL="685800" indent="-114300" algn="l">
            <a:defRPr sz="1300"/>
          </a:lvl7pPr>
          <a:lvl8pPr marL="800100" indent="-114300" algn="l">
            <a:defRPr sz="1300"/>
          </a:lvl8pPr>
          <a:lvl9pPr marL="914400" indent="-114300" algn="l">
            <a:defRPr sz="1300"/>
          </a:lvl9pPr>
        </a:lstStyle>
        <a:p>
          <a:pPr lvl="0">
            <a:lnSpc>
              <a:spcPct val="100000"/>
            </a:lnSpc>
            <a:spcBef>
              <a:spcPct val="0"/>
            </a:spcBef>
            <a:spcAft>
              <a:spcPct val="35000"/>
            </a:spcAft>
          </a:pPr>
          <a:r>
            <a:rPr lang="en-US" altLang="zh-CN"/>
            <a:t>201</a:t>
          </a:r>
          <a:r>
            <a:rPr lang="en-US" altLang="zh-CN"/>
            <a:t>1</a:t>
          </a:r>
          <a:r>
            <a:rPr lang="en-US" altLang="zh-CN"/>
            <a:t>-2014</a:t>
          </a:r>
          <a:r>
            <a:rPr lang="zh-CN" altLang="en-US"/>
            <a:t>年</a:t>
          </a:r>
          <a:endParaRPr lang="zh-CN" altLang="en-US"/>
        </a:p>
      </dsp:txBody>
      <dsp:txXfrm>
        <a:off x="0" y="47602"/>
        <a:ext cx="1412855" cy="734400"/>
      </dsp:txXfrm>
    </dsp:sp>
    <dsp:sp modelId="{A527D8D7-AE0F-41E2-B0A5-F384C5C9B908}">
      <dsp:nvSpPr>
        <dsp:cNvPr id="4" name="圆角矩形 3"/>
        <dsp:cNvSpPr/>
      </dsp:nvSpPr>
      <dsp:spPr bwMode="white">
        <a:xfrm>
          <a:off x="289380" y="537203"/>
          <a:ext cx="1412855" cy="979200"/>
        </a:xfrm>
        <a:prstGeom prst="roundRect">
          <a:avLst>
            <a:gd name="adj" fmla="val 10000"/>
          </a:avLst>
        </a:prstGeom>
      </dsp:spPr>
      <dsp:style>
        <a:lnRef idx="2">
          <a:schemeClr val="accent1"/>
        </a:lnRef>
        <a:fillRef idx="1">
          <a:schemeClr val="lt1">
            <a:alpha val="90000"/>
          </a:schemeClr>
        </a:fillRef>
        <a:effectRef idx="0">
          <a:scrgbClr r="0" g="0" b="0"/>
        </a:effectRef>
        <a:fontRef idx="minor"/>
      </dsp:style>
      <dsp:txBody>
        <a:bodyPr vert="horz" wrap="square" lIns="71120" tIns="71120" rIns="71120" bIns="71120" anchor="t"/>
        <a:lstStyle>
          <a:lvl1pPr algn="l">
            <a:defRPr sz="1700"/>
          </a:lvl1pPr>
          <a:lvl2pPr marL="171450" indent="-171450" algn="l">
            <a:defRPr sz="1700"/>
          </a:lvl2pPr>
          <a:lvl3pPr marL="342900" indent="-171450" algn="l">
            <a:defRPr sz="1700"/>
          </a:lvl3pPr>
          <a:lvl4pPr marL="514350" indent="-171450" algn="l">
            <a:defRPr sz="1700"/>
          </a:lvl4pPr>
          <a:lvl5pPr marL="685800" indent="-171450" algn="l">
            <a:defRPr sz="1700"/>
          </a:lvl5pPr>
          <a:lvl6pPr marL="857250" indent="-171450" algn="l">
            <a:defRPr sz="1700"/>
          </a:lvl6pPr>
          <a:lvl7pPr marL="1028700" indent="-171450" algn="l">
            <a:defRPr sz="1700"/>
          </a:lvl7pPr>
          <a:lvl8pPr marL="1200150" indent="-171450" algn="l">
            <a:defRPr sz="1700"/>
          </a:lvl8pPr>
          <a:lvl9pPr marL="1371600" indent="-171450" algn="l">
            <a:defRPr sz="1700"/>
          </a:lvl9pPr>
        </a:lstStyle>
        <a:p>
          <a:pPr marL="57150" lvl="1" indent="-57150">
            <a:lnSpc>
              <a:spcPct val="100000"/>
            </a:lnSpc>
            <a:spcBef>
              <a:spcPct val="0"/>
            </a:spcBef>
            <a:spcAft>
              <a:spcPct val="15000"/>
            </a:spcAft>
            <a:buChar char="•"/>
          </a:pPr>
          <a:r>
            <a:rPr lang="zh-CN" altLang="en-US" sz="1050">
              <a:solidFill>
                <a:schemeClr val="dk1"/>
              </a:solidFill>
            </a:rPr>
            <a:t>扶贫就医</a:t>
          </a:r>
          <a:endParaRPr lang="zh-CN" altLang="en-US" sz="1050">
            <a:solidFill>
              <a:schemeClr val="dk1"/>
            </a:solidFill>
          </a:endParaRPr>
        </a:p>
        <a:p>
          <a:pPr marL="57150" lvl="1" indent="-57150">
            <a:lnSpc>
              <a:spcPct val="100000"/>
            </a:lnSpc>
            <a:spcBef>
              <a:spcPct val="0"/>
            </a:spcBef>
            <a:spcAft>
              <a:spcPct val="15000"/>
            </a:spcAft>
            <a:buChar char="•"/>
          </a:pPr>
          <a:r>
            <a:rPr lang="zh-CN" altLang="en-US" sz="1050">
              <a:solidFill>
                <a:schemeClr val="dk1"/>
              </a:solidFill>
            </a:rPr>
            <a:t>意外伤害</a:t>
          </a:r>
          <a:r>
            <a:rPr lang="en-US" altLang="zh-CN" sz="1050">
              <a:solidFill>
                <a:schemeClr val="dk1"/>
              </a:solidFill>
            </a:rPr>
            <a:t>/</a:t>
          </a:r>
          <a:r>
            <a:rPr lang="zh-CN" altLang="en-US" sz="1050">
              <a:solidFill>
                <a:schemeClr val="dk1"/>
              </a:solidFill>
            </a:rPr>
            <a:t>灾害救助</a:t>
          </a:r>
          <a:endParaRPr lang="zh-CN" altLang="en-US" sz="1050">
            <a:solidFill>
              <a:schemeClr val="dk1"/>
            </a:solidFill>
          </a:endParaRPr>
        </a:p>
        <a:p>
          <a:pPr marL="57150" lvl="1" indent="-57150">
            <a:lnSpc>
              <a:spcPct val="100000"/>
            </a:lnSpc>
            <a:spcBef>
              <a:spcPct val="0"/>
            </a:spcBef>
            <a:spcAft>
              <a:spcPct val="15000"/>
            </a:spcAft>
            <a:buChar char="•"/>
          </a:pPr>
          <a:r>
            <a:rPr lang="zh-CN" altLang="en-US" sz="1050">
              <a:solidFill>
                <a:schemeClr val="dk1"/>
              </a:solidFill>
            </a:rPr>
            <a:t>特殊困难救助</a:t>
          </a:r>
          <a:endParaRPr lang="zh-CN" altLang="en-US" sz="1050">
            <a:solidFill>
              <a:schemeClr val="dk1"/>
            </a:solidFill>
          </a:endParaRPr>
        </a:p>
      </dsp:txBody>
      <dsp:txXfrm>
        <a:off x="289380" y="537203"/>
        <a:ext cx="1412855" cy="979200"/>
      </dsp:txXfrm>
    </dsp:sp>
    <dsp:sp modelId="{21AD7683-4E21-48FB-A2B0-38429FA73B13}">
      <dsp:nvSpPr>
        <dsp:cNvPr id="5" name="右箭头 4"/>
        <dsp:cNvSpPr/>
      </dsp:nvSpPr>
      <dsp:spPr bwMode="white">
        <a:xfrm>
          <a:off x="1614188" y="116522"/>
          <a:ext cx="454069" cy="351760"/>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endParaRPr lang="zh-CN" altLang="en-US"/>
        </a:p>
      </dsp:txBody>
      <dsp:txXfrm>
        <a:off x="1614188" y="116522"/>
        <a:ext cx="454069" cy="351760"/>
      </dsp:txXfrm>
    </dsp:sp>
    <dsp:sp modelId="{4201241F-A758-4825-9A41-CBED0FF9E993}">
      <dsp:nvSpPr>
        <dsp:cNvPr id="6" name="圆角矩形 5"/>
        <dsp:cNvSpPr/>
      </dsp:nvSpPr>
      <dsp:spPr bwMode="white">
        <a:xfrm>
          <a:off x="2269590" y="47602"/>
          <a:ext cx="1412855" cy="734400"/>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120904" tIns="120904" rIns="120904" bIns="64769" anchor="t"/>
        <a:lstStyle>
          <a:lvl1pPr algn="l">
            <a:defRPr sz="1700"/>
          </a:lvl1pPr>
          <a:lvl2pPr marL="114300" indent="-114300" algn="l">
            <a:defRPr sz="1300"/>
          </a:lvl2pPr>
          <a:lvl3pPr marL="228600" indent="-114300" algn="l">
            <a:defRPr sz="1300"/>
          </a:lvl3pPr>
          <a:lvl4pPr marL="342900" indent="-114300" algn="l">
            <a:defRPr sz="1300"/>
          </a:lvl4pPr>
          <a:lvl5pPr marL="457200" indent="-114300" algn="l">
            <a:defRPr sz="1300"/>
          </a:lvl5pPr>
          <a:lvl6pPr marL="571500" indent="-114300" algn="l">
            <a:defRPr sz="1300"/>
          </a:lvl6pPr>
          <a:lvl7pPr marL="685800" indent="-114300" algn="l">
            <a:defRPr sz="1300"/>
          </a:lvl7pPr>
          <a:lvl8pPr marL="800100" indent="-114300" algn="l">
            <a:defRPr sz="1300"/>
          </a:lvl8pPr>
          <a:lvl9pPr marL="914400" indent="-114300" algn="l">
            <a:defRPr sz="1300"/>
          </a:lvl9pPr>
        </a:lstStyle>
        <a:p>
          <a:pPr lvl="0">
            <a:lnSpc>
              <a:spcPct val="100000"/>
            </a:lnSpc>
            <a:spcBef>
              <a:spcPct val="0"/>
            </a:spcBef>
            <a:spcAft>
              <a:spcPct val="35000"/>
            </a:spcAft>
          </a:pPr>
          <a:endParaRPr lang="zh-CN" altLang="en-US"/>
        </a:p>
      </dsp:txBody>
      <dsp:txXfrm>
        <a:off x="2269590" y="47602"/>
        <a:ext cx="1412855" cy="734400"/>
      </dsp:txXfrm>
    </dsp:sp>
    <dsp:sp modelId="{BFC7A65B-961A-4F69-8CB3-248457E85C87}">
      <dsp:nvSpPr>
        <dsp:cNvPr id="7" name="圆角矩形 6"/>
        <dsp:cNvSpPr/>
      </dsp:nvSpPr>
      <dsp:spPr bwMode="white">
        <a:xfrm>
          <a:off x="2558970" y="537203"/>
          <a:ext cx="1412855" cy="979200"/>
        </a:xfrm>
        <a:prstGeom prst="roundRect">
          <a:avLst>
            <a:gd name="adj" fmla="val 10000"/>
          </a:avLst>
        </a:prstGeom>
      </dsp:spPr>
      <dsp:style>
        <a:lnRef idx="2">
          <a:schemeClr val="accent1"/>
        </a:lnRef>
        <a:fillRef idx="1">
          <a:schemeClr val="lt1">
            <a:alpha val="90000"/>
          </a:schemeClr>
        </a:fillRef>
        <a:effectRef idx="0">
          <a:scrgbClr r="0" g="0" b="0"/>
        </a:effectRef>
        <a:fontRef idx="minor"/>
      </dsp:style>
      <dsp:txBody>
        <a:bodyPr lIns="120904" tIns="120904" rIns="120904" bIns="120904" anchor="t"/>
        <a:lstStyle>
          <a:lvl1pPr algn="l">
            <a:defRPr sz="1700"/>
          </a:lvl1pPr>
          <a:lvl2pPr marL="171450" indent="-171450" algn="l">
            <a:defRPr sz="1700"/>
          </a:lvl2pPr>
          <a:lvl3pPr marL="342900" indent="-171450" algn="l">
            <a:defRPr sz="1700"/>
          </a:lvl3pPr>
          <a:lvl4pPr marL="514350" indent="-171450" algn="l">
            <a:defRPr sz="1700"/>
          </a:lvl4pPr>
          <a:lvl5pPr marL="685800" indent="-171450" algn="l">
            <a:defRPr sz="1700"/>
          </a:lvl5pPr>
          <a:lvl6pPr marL="857250" indent="-171450" algn="l">
            <a:defRPr sz="1700"/>
          </a:lvl6pPr>
          <a:lvl7pPr marL="1028700" indent="-171450" algn="l">
            <a:defRPr sz="1700"/>
          </a:lvl7pPr>
          <a:lvl8pPr marL="1200150" indent="-171450" algn="l">
            <a:defRPr sz="1700"/>
          </a:lvl8pPr>
          <a:lvl9pPr marL="1371600" indent="-171450" algn="l">
            <a:defRPr sz="1700"/>
          </a:lvl9pPr>
        </a:lstStyle>
        <a:p>
          <a:pPr lvl="1">
            <a:lnSpc>
              <a:spcPct val="100000"/>
            </a:lnSpc>
            <a:spcBef>
              <a:spcPct val="0"/>
            </a:spcBef>
            <a:spcAft>
              <a:spcPct val="15000"/>
            </a:spcAft>
            <a:buChar char="•"/>
          </a:pPr>
          <a:endParaRPr lang="zh-CN" altLang="en-US">
            <a:solidFill>
              <a:schemeClr val="dk1"/>
            </a:solidFill>
          </a:endParaRPr>
        </a:p>
      </dsp:txBody>
      <dsp:txXfrm>
        <a:off x="2558970" y="537203"/>
        <a:ext cx="1412855" cy="979200"/>
      </dsp:txXfrm>
    </dsp:sp>
    <dsp:sp modelId="{5D27C5B2-FAF5-4B9E-8CE5-8F54D12F7C36}">
      <dsp:nvSpPr>
        <dsp:cNvPr id="8" name="右箭头 7"/>
        <dsp:cNvSpPr/>
      </dsp:nvSpPr>
      <dsp:spPr bwMode="white">
        <a:xfrm>
          <a:off x="3883778" y="116522"/>
          <a:ext cx="454069" cy="351760"/>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endParaRPr lang="zh-CN" altLang="en-US"/>
        </a:p>
      </dsp:txBody>
      <dsp:txXfrm>
        <a:off x="3883778" y="116522"/>
        <a:ext cx="454069" cy="351760"/>
      </dsp:txXfrm>
    </dsp:sp>
    <dsp:sp modelId="{6EADA40E-ECF8-4EF2-9B35-A9DD5D6A50D5}">
      <dsp:nvSpPr>
        <dsp:cNvPr id="9" name="圆角矩形 8"/>
        <dsp:cNvSpPr/>
      </dsp:nvSpPr>
      <dsp:spPr bwMode="white">
        <a:xfrm>
          <a:off x="4539180" y="47602"/>
          <a:ext cx="1412855" cy="734400"/>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120904" tIns="120904" rIns="120904" bIns="64769" anchor="t"/>
        <a:lstStyle>
          <a:lvl1pPr algn="l">
            <a:defRPr sz="1700"/>
          </a:lvl1pPr>
          <a:lvl2pPr marL="114300" indent="-114300" algn="l">
            <a:defRPr sz="1300"/>
          </a:lvl2pPr>
          <a:lvl3pPr marL="228600" indent="-114300" algn="l">
            <a:defRPr sz="1300"/>
          </a:lvl3pPr>
          <a:lvl4pPr marL="342900" indent="-114300" algn="l">
            <a:defRPr sz="1300"/>
          </a:lvl4pPr>
          <a:lvl5pPr marL="457200" indent="-114300" algn="l">
            <a:defRPr sz="1300"/>
          </a:lvl5pPr>
          <a:lvl6pPr marL="571500" indent="-114300" algn="l">
            <a:defRPr sz="1300"/>
          </a:lvl6pPr>
          <a:lvl7pPr marL="685800" indent="-114300" algn="l">
            <a:defRPr sz="1300"/>
          </a:lvl7pPr>
          <a:lvl8pPr marL="800100" indent="-114300" algn="l">
            <a:defRPr sz="1300"/>
          </a:lvl8pPr>
          <a:lvl9pPr marL="914400" indent="-114300" algn="l">
            <a:defRPr sz="1300"/>
          </a:lvl9pPr>
        </a:lstStyle>
        <a:p>
          <a:pPr lvl="0">
            <a:lnSpc>
              <a:spcPct val="100000"/>
            </a:lnSpc>
            <a:spcBef>
              <a:spcPct val="0"/>
            </a:spcBef>
            <a:spcAft>
              <a:spcPct val="35000"/>
            </a:spcAft>
          </a:pPr>
          <a:endParaRPr lang="zh-CN" altLang="en-US"/>
        </a:p>
      </dsp:txBody>
      <dsp:txXfrm>
        <a:off x="4539180" y="47602"/>
        <a:ext cx="1412855" cy="734400"/>
      </dsp:txXfrm>
    </dsp:sp>
    <dsp:sp modelId="{39BA4712-27E2-4423-ADD6-9F9BD3D8FB35}">
      <dsp:nvSpPr>
        <dsp:cNvPr id="10" name="圆角矩形 9"/>
        <dsp:cNvSpPr/>
      </dsp:nvSpPr>
      <dsp:spPr bwMode="white">
        <a:xfrm>
          <a:off x="4828560" y="537203"/>
          <a:ext cx="1412855" cy="979200"/>
        </a:xfrm>
        <a:prstGeom prst="roundRect">
          <a:avLst>
            <a:gd name="adj" fmla="val 10000"/>
          </a:avLst>
        </a:prstGeom>
      </dsp:spPr>
      <dsp:style>
        <a:lnRef idx="2">
          <a:schemeClr val="accent1"/>
        </a:lnRef>
        <a:fillRef idx="1">
          <a:schemeClr val="lt1">
            <a:alpha val="90000"/>
          </a:schemeClr>
        </a:fillRef>
        <a:effectRef idx="0">
          <a:scrgbClr r="0" g="0" b="0"/>
        </a:effectRef>
        <a:fontRef idx="minor"/>
      </dsp:style>
      <dsp:txBody>
        <a:bodyPr lIns="120904" tIns="120904" rIns="120904" bIns="120904" anchor="t"/>
        <a:lstStyle>
          <a:lvl1pPr algn="l">
            <a:defRPr sz="1700"/>
          </a:lvl1pPr>
          <a:lvl2pPr marL="171450" indent="-171450" algn="l">
            <a:defRPr sz="1700"/>
          </a:lvl2pPr>
          <a:lvl3pPr marL="342900" indent="-171450" algn="l">
            <a:defRPr sz="1700"/>
          </a:lvl3pPr>
          <a:lvl4pPr marL="514350" indent="-171450" algn="l">
            <a:defRPr sz="1700"/>
          </a:lvl4pPr>
          <a:lvl5pPr marL="685800" indent="-171450" algn="l">
            <a:defRPr sz="1700"/>
          </a:lvl5pPr>
          <a:lvl6pPr marL="857250" indent="-171450" algn="l">
            <a:defRPr sz="1700"/>
          </a:lvl6pPr>
          <a:lvl7pPr marL="1028700" indent="-171450" algn="l">
            <a:defRPr sz="1700"/>
          </a:lvl7pPr>
          <a:lvl8pPr marL="1200150" indent="-171450" algn="l">
            <a:defRPr sz="1700"/>
          </a:lvl8pPr>
          <a:lvl9pPr marL="1371600" indent="-171450" algn="l">
            <a:defRPr sz="1700"/>
          </a:lvl9pPr>
        </a:lstStyle>
        <a:p>
          <a:pPr lvl="1">
            <a:lnSpc>
              <a:spcPct val="100000"/>
            </a:lnSpc>
            <a:spcBef>
              <a:spcPct val="0"/>
            </a:spcBef>
            <a:spcAft>
              <a:spcPct val="15000"/>
            </a:spcAft>
            <a:buChar char="•"/>
          </a:pPr>
          <a:endParaRPr lang="zh-CN" altLang="en-US">
            <a:solidFill>
              <a:schemeClr val="dk1"/>
            </a:solidFill>
          </a:endParaRPr>
        </a:p>
      </dsp:txBody>
      <dsp:txXfrm>
        <a:off x="4828560" y="537203"/>
        <a:ext cx="1412855" cy="97920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rSet qsTypeId="urn:microsoft.com/office/officeart/2005/8/quickstyle/simple5"/>
        </dgm:pt>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rSet csTypeId="urn:microsoft.com/office/officeart/2005/8/colors/accent6_5"/>
        </dgm:pt>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srcNode" val="parTx"/>
            <dgm:param type="dstNode" val="parTx"/>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15391</Words>
  <Characters>16935</Characters>
  <Lines>0</Lines>
  <Paragraphs>618</Paragraphs>
  <ScaleCrop>false</ScaleCrop>
  <LinksUpToDate>false</LinksUpToDate>
  <CharactersWithSpaces>18999</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2021-10-21T01:05:56Z</cp:lastPrinted>
  <dcterms:modified xsi:type="dcterms:W3CDTF">2021-10-21T01:06:46Z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B6F007DAA9A7402794F4C5F1F231F49F</vt:lpwstr>
  </property>
</Properties>
</file>