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64CAE">
      <w:pPr>
        <w:pStyle w:val="5"/>
        <w:kinsoku w:val="0"/>
        <w:overflowPunct w:val="0"/>
        <w:ind w:left="1849" w:hanging="1855" w:hangingChars="400"/>
        <w:rPr>
          <w:rFonts w:cs="方正小标宋简体" w:asciiTheme="minorEastAsia" w:hAnsiTheme="minorEastAsia" w:eastAsiaTheme="minorEastAsia"/>
          <w:b/>
          <w:bCs/>
          <w:w w:val="110"/>
          <w:sz w:val="44"/>
          <w:szCs w:val="44"/>
        </w:rPr>
      </w:pPr>
      <w:r>
        <w:rPr>
          <w:rFonts w:cs="方正小标宋简体" w:asciiTheme="minorEastAsia" w:hAnsiTheme="minorEastAsia" w:eastAsiaTheme="minorEastAsia"/>
          <w:b/>
          <w:bCs/>
          <w:w w:val="105"/>
          <w:sz w:val="44"/>
          <w:szCs w:val="44"/>
        </w:rPr>
        <w:t>洛龙区慈善协会</w:t>
      </w:r>
      <w:r>
        <w:rPr>
          <w:rFonts w:cs="微软雅黑" w:asciiTheme="minorEastAsia" w:hAnsiTheme="minorEastAsia" w:eastAsiaTheme="minorEastAsia"/>
          <w:b/>
          <w:bCs/>
          <w:w w:val="105"/>
          <w:sz w:val="44"/>
          <w:szCs w:val="44"/>
        </w:rPr>
        <w:t>•</w:t>
      </w:r>
      <w:bookmarkStart w:id="0" w:name="OLE_LINK1"/>
      <w:r>
        <w:rPr>
          <w:rFonts w:cs="方正小标宋简体" w:asciiTheme="minorEastAsia" w:hAnsiTheme="minorEastAsia" w:eastAsiaTheme="minorEastAsia"/>
          <w:b/>
          <w:bCs/>
          <w:w w:val="105"/>
          <w:sz w:val="44"/>
          <w:szCs w:val="44"/>
        </w:rPr>
        <w:t>洛阳朝霞文化股份有限公司</w:t>
      </w:r>
      <w:bookmarkEnd w:id="0"/>
      <w:r>
        <w:rPr>
          <w:rFonts w:cs="方正小标宋简体" w:asciiTheme="minorEastAsia" w:hAnsiTheme="minorEastAsia" w:eastAsiaTheme="minorEastAsia"/>
          <w:b/>
          <w:bCs/>
          <w:w w:val="105"/>
          <w:sz w:val="44"/>
          <w:szCs w:val="44"/>
        </w:rPr>
        <w:t>“佰仁荣英”</w:t>
      </w:r>
      <w:r>
        <w:rPr>
          <w:rFonts w:cs="方正小标宋简体" w:asciiTheme="minorEastAsia" w:hAnsiTheme="minorEastAsia" w:eastAsiaTheme="minorEastAsia"/>
          <w:b/>
          <w:bCs/>
          <w:w w:val="110"/>
          <w:sz w:val="44"/>
          <w:szCs w:val="44"/>
        </w:rPr>
        <w:t>慈善基金协议</w:t>
      </w:r>
    </w:p>
    <w:p w14:paraId="53E872DF">
      <w:pPr>
        <w:pStyle w:val="5"/>
        <w:kinsoku w:val="0"/>
        <w:overflowPunct w:val="0"/>
        <w:spacing w:line="600" w:lineRule="exact"/>
        <w:rPr>
          <w:rFonts w:cs="仿宋_GB2312" w:asciiTheme="minorEastAsia" w:hAnsiTheme="minorEastAsia" w:eastAsiaTheme="minorEastAsia"/>
          <w:sz w:val="32"/>
          <w:szCs w:val="32"/>
        </w:rPr>
      </w:pPr>
    </w:p>
    <w:p w14:paraId="178BAFAE">
      <w:pPr>
        <w:overflowPunct w:val="0"/>
        <w:spacing w:line="580" w:lineRule="exact"/>
        <w:ind w:firstLine="630" w:firstLineChars="196"/>
        <w:rPr>
          <w:rFonts w:cs="仿宋_GB2312" w:asciiTheme="minorEastAsia" w:hAnsiTheme="minorEastAsia" w:eastAsiaTheme="minorEastAsia"/>
          <w:b/>
          <w:sz w:val="32"/>
          <w:szCs w:val="32"/>
        </w:rPr>
      </w:pPr>
      <w:r>
        <w:rPr>
          <w:rFonts w:cs="仿宋_GB2312" w:asciiTheme="minorEastAsia" w:hAnsiTheme="minorEastAsia" w:eastAsiaTheme="minorEastAsia"/>
          <w:b/>
          <w:sz w:val="32"/>
          <w:szCs w:val="32"/>
        </w:rPr>
        <w:t>甲方：洛阳朝霞文化股份有限公司</w:t>
      </w:r>
    </w:p>
    <w:p w14:paraId="64DF5171">
      <w:pPr>
        <w:overflowPunct w:val="0"/>
        <w:spacing w:line="580" w:lineRule="exact"/>
        <w:ind w:firstLine="630" w:firstLineChars="196"/>
        <w:rPr>
          <w:rFonts w:cs="仿宋_GB2312" w:asciiTheme="minorEastAsia" w:hAnsiTheme="minorEastAsia" w:eastAsiaTheme="minorEastAsia"/>
          <w:b/>
          <w:sz w:val="32"/>
          <w:szCs w:val="32"/>
        </w:rPr>
      </w:pPr>
      <w:r>
        <w:rPr>
          <w:rFonts w:cs="仿宋_GB2312" w:asciiTheme="minorEastAsia" w:hAnsiTheme="minorEastAsia" w:eastAsiaTheme="minorEastAsia"/>
          <w:b/>
          <w:sz w:val="32"/>
          <w:szCs w:val="32"/>
        </w:rPr>
        <w:t>地址：洛阳市洛龙区开元大道与金城寨街交叉口正大国际中心CPL38层</w:t>
      </w:r>
    </w:p>
    <w:p w14:paraId="35CC7BCE">
      <w:pPr>
        <w:overflowPunct w:val="0"/>
        <w:spacing w:line="580" w:lineRule="exact"/>
        <w:ind w:firstLine="630" w:firstLineChars="196"/>
        <w:rPr>
          <w:rFonts w:hint="eastAsia" w:cs="仿宋_GB2312" w:asciiTheme="minorEastAsia" w:hAnsiTheme="minorEastAsia" w:eastAsiaTheme="minorEastAsia"/>
          <w:b/>
          <w:sz w:val="32"/>
          <w:szCs w:val="32"/>
          <w:lang w:val="en-US" w:eastAsia="zh-CN"/>
        </w:rPr>
      </w:pPr>
      <w:r>
        <w:rPr>
          <w:rFonts w:cs="仿宋_GB2312" w:asciiTheme="minorEastAsia" w:hAnsiTheme="minorEastAsia" w:eastAsiaTheme="minorEastAsia"/>
          <w:b/>
          <w:sz w:val="32"/>
          <w:szCs w:val="32"/>
        </w:rPr>
        <w:t>联系人：张</w:t>
      </w:r>
      <w:r>
        <w:rPr>
          <w:rFonts w:hint="eastAsia" w:cs="仿宋_GB2312" w:asciiTheme="minorEastAsia" w:hAnsiTheme="minorEastAsia" w:eastAsiaTheme="minorEastAsia"/>
          <w:b/>
          <w:sz w:val="32"/>
          <w:szCs w:val="32"/>
          <w:lang w:val="en-US" w:eastAsia="zh-CN"/>
        </w:rPr>
        <w:t>xx</w:t>
      </w:r>
    </w:p>
    <w:p w14:paraId="66776816">
      <w:pPr>
        <w:overflowPunct w:val="0"/>
        <w:spacing w:line="580" w:lineRule="exact"/>
        <w:ind w:firstLine="630" w:firstLineChars="196"/>
        <w:rPr>
          <w:rFonts w:cs="仿宋_GB2312" w:asciiTheme="minorEastAsia" w:hAnsiTheme="minorEastAsia" w:eastAsiaTheme="minorEastAsia"/>
          <w:b/>
          <w:sz w:val="32"/>
          <w:szCs w:val="32"/>
        </w:rPr>
      </w:pPr>
      <w:r>
        <w:rPr>
          <w:rFonts w:cs="仿宋_GB2312" w:asciiTheme="minorEastAsia" w:hAnsiTheme="minorEastAsia" w:eastAsiaTheme="minorEastAsia"/>
          <w:b/>
          <w:sz w:val="32"/>
          <w:szCs w:val="32"/>
        </w:rPr>
        <w:t>电话号码：133</w:t>
      </w:r>
      <w:r>
        <w:rPr>
          <w:rFonts w:hint="eastAsia" w:cs="仿宋_GB2312" w:asciiTheme="minorEastAsia" w:hAnsiTheme="minorEastAsia" w:eastAsiaTheme="minorEastAsia"/>
          <w:b/>
          <w:sz w:val="32"/>
          <w:szCs w:val="32"/>
          <w:lang w:val="en-US" w:eastAsia="zh-CN"/>
        </w:rPr>
        <w:t>xxxxxx</w:t>
      </w:r>
      <w:r>
        <w:rPr>
          <w:rFonts w:cs="仿宋_GB2312" w:asciiTheme="minorEastAsia" w:hAnsiTheme="minorEastAsia" w:eastAsiaTheme="minorEastAsia"/>
          <w:b/>
          <w:sz w:val="32"/>
          <w:szCs w:val="32"/>
        </w:rPr>
        <w:t>98</w:t>
      </w:r>
    </w:p>
    <w:p w14:paraId="0DE105BD">
      <w:pPr>
        <w:pStyle w:val="4"/>
        <w:kinsoku w:val="0"/>
        <w:overflowPunct w:val="0"/>
        <w:spacing w:line="600" w:lineRule="exact"/>
        <w:ind w:left="0" w:firstLine="480" w:firstLineChars="200"/>
        <w:rPr>
          <w:rFonts w:cs="仿宋" w:asciiTheme="minorEastAsia" w:hAnsiTheme="minorEastAsia" w:eastAsiaTheme="minorEastAsia"/>
          <w:w w:val="95"/>
          <w:szCs w:val="32"/>
        </w:rPr>
      </w:pPr>
      <w:r>
        <w:rPr>
          <w:rFonts w:cs="仿宋" w:asciiTheme="minorEastAsia" w:hAnsiTheme="minorEastAsia" w:eastAsiaTheme="minorEastAsia"/>
          <w:w w:val="75"/>
          <w:szCs w:val="32"/>
        </w:rPr>
        <w:t xml:space="preserve">          </w:t>
      </w:r>
    </w:p>
    <w:p w14:paraId="0CA5CCCD">
      <w:pPr>
        <w:overflowPunct w:val="0"/>
        <w:spacing w:line="580" w:lineRule="exact"/>
        <w:ind w:firstLine="630" w:firstLineChars="196"/>
        <w:rPr>
          <w:rFonts w:cs="仿宋_GB2312" w:asciiTheme="minorEastAsia" w:hAnsiTheme="minorEastAsia" w:eastAsiaTheme="minorEastAsia"/>
          <w:b/>
          <w:sz w:val="32"/>
          <w:szCs w:val="32"/>
        </w:rPr>
      </w:pPr>
      <w:r>
        <w:rPr>
          <w:rFonts w:cs="仿宋_GB2312" w:asciiTheme="minorEastAsia" w:hAnsiTheme="minorEastAsia" w:eastAsiaTheme="minorEastAsia"/>
          <w:b/>
          <w:sz w:val="32"/>
          <w:szCs w:val="32"/>
        </w:rPr>
        <w:t>乙方：洛龙区慈善协会</w:t>
      </w:r>
    </w:p>
    <w:p w14:paraId="4FAE7D3C">
      <w:pPr>
        <w:overflowPunct w:val="0"/>
        <w:spacing w:line="580" w:lineRule="exact"/>
        <w:ind w:firstLine="630" w:firstLineChars="196"/>
        <w:rPr>
          <w:rFonts w:cs="仿宋_GB2312" w:asciiTheme="minorEastAsia" w:hAnsiTheme="minorEastAsia" w:eastAsiaTheme="minorEastAsia"/>
          <w:b/>
          <w:sz w:val="32"/>
          <w:szCs w:val="32"/>
        </w:rPr>
      </w:pPr>
      <w:r>
        <w:rPr>
          <w:rFonts w:cs="仿宋_GB2312" w:asciiTheme="minorEastAsia" w:hAnsiTheme="minorEastAsia" w:eastAsiaTheme="minorEastAsia"/>
          <w:b/>
          <w:sz w:val="32"/>
          <w:szCs w:val="32"/>
        </w:rPr>
        <w:t>地址：洛阳市洛龙区政务服务中心</w:t>
      </w:r>
    </w:p>
    <w:p w14:paraId="74073971">
      <w:pPr>
        <w:overflowPunct w:val="0"/>
        <w:spacing w:line="580" w:lineRule="exact"/>
        <w:ind w:firstLine="630" w:firstLineChars="196"/>
        <w:rPr>
          <w:rFonts w:hint="default" w:cs="仿宋_GB2312" w:asciiTheme="minorEastAsia" w:hAnsiTheme="minorEastAsia" w:eastAsiaTheme="minorEastAsia"/>
          <w:b/>
          <w:sz w:val="32"/>
          <w:szCs w:val="32"/>
          <w:lang w:val="en-US" w:eastAsia="zh-CN"/>
        </w:rPr>
      </w:pPr>
      <w:r>
        <w:rPr>
          <w:rFonts w:cs="仿宋_GB2312" w:asciiTheme="minorEastAsia" w:hAnsiTheme="minorEastAsia" w:eastAsiaTheme="minorEastAsia"/>
          <w:b/>
          <w:sz w:val="32"/>
          <w:szCs w:val="32"/>
        </w:rPr>
        <w:t>联系人:李</w:t>
      </w:r>
      <w:r>
        <w:rPr>
          <w:rFonts w:hint="eastAsia" w:cs="仿宋_GB2312" w:asciiTheme="minorEastAsia" w:hAnsiTheme="minorEastAsia" w:eastAsiaTheme="minorEastAsia"/>
          <w:b/>
          <w:sz w:val="32"/>
          <w:szCs w:val="32"/>
          <w:lang w:val="en-US" w:eastAsia="zh-CN"/>
        </w:rPr>
        <w:t>xx</w:t>
      </w:r>
    </w:p>
    <w:p w14:paraId="54338B4D">
      <w:pPr>
        <w:overflowPunct w:val="0"/>
        <w:spacing w:line="580" w:lineRule="exact"/>
        <w:ind w:firstLine="630" w:firstLineChars="196"/>
        <w:rPr>
          <w:rFonts w:cs="仿宋_GB2312" w:asciiTheme="minorEastAsia" w:hAnsiTheme="minorEastAsia" w:eastAsiaTheme="minorEastAsia"/>
          <w:b/>
          <w:sz w:val="32"/>
          <w:szCs w:val="32"/>
        </w:rPr>
      </w:pPr>
      <w:r>
        <w:rPr>
          <w:rFonts w:cs="仿宋_GB2312" w:asciiTheme="minorEastAsia" w:hAnsiTheme="minorEastAsia" w:eastAsiaTheme="minorEastAsia"/>
          <w:b/>
          <w:sz w:val="32"/>
          <w:szCs w:val="32"/>
        </w:rPr>
        <w:t>电话号码：136</w:t>
      </w:r>
      <w:r>
        <w:rPr>
          <w:rFonts w:hint="eastAsia" w:cs="仿宋_GB2312" w:asciiTheme="minorEastAsia" w:hAnsiTheme="minorEastAsia" w:eastAsiaTheme="minorEastAsia"/>
          <w:b/>
          <w:sz w:val="32"/>
          <w:szCs w:val="32"/>
          <w:lang w:val="en-US" w:eastAsia="zh-CN"/>
        </w:rPr>
        <w:t>xxxxx</w:t>
      </w:r>
      <w:r>
        <w:rPr>
          <w:rFonts w:cs="仿宋_GB2312" w:asciiTheme="minorEastAsia" w:hAnsiTheme="minorEastAsia" w:eastAsiaTheme="minorEastAsia"/>
          <w:b/>
          <w:sz w:val="32"/>
          <w:szCs w:val="32"/>
        </w:rPr>
        <w:t>81</w:t>
      </w:r>
    </w:p>
    <w:p w14:paraId="5873EE80">
      <w:pPr>
        <w:pStyle w:val="5"/>
        <w:kinsoku w:val="0"/>
        <w:overflowPunct w:val="0"/>
        <w:spacing w:line="600" w:lineRule="exact"/>
        <w:rPr>
          <w:rFonts w:cs="仿宋_GB2312" w:asciiTheme="minorEastAsia" w:hAnsiTheme="minorEastAsia" w:eastAsiaTheme="minorEastAsia"/>
          <w:sz w:val="32"/>
          <w:szCs w:val="32"/>
        </w:rPr>
      </w:pPr>
    </w:p>
    <w:p w14:paraId="7291830F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根据《中华人民共和国慈善法》《中华人民共和国公益事业捐赠法》和 《中华人民共和国民法典》 等有关法律法规，双方在自愿、平等、互惠、互利的基础上，经友好协商，达成如下协议：</w:t>
      </w:r>
    </w:p>
    <w:p w14:paraId="535DB921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5" w:firstLineChars="200"/>
        <w:rPr>
          <w:rFonts w:cs="仿宋_GB2312" w:asciiTheme="minorEastAsia" w:hAnsiTheme="minorEastAsia" w:eastAsiaTheme="minorEastAsia"/>
          <w:b/>
          <w:bCs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b/>
          <w:bCs/>
          <w:spacing w:val="-9"/>
          <w:w w:val="95"/>
          <w:sz w:val="32"/>
          <w:szCs w:val="32"/>
        </w:rPr>
        <w:t>第一条  基金名称</w:t>
      </w:r>
    </w:p>
    <w:p w14:paraId="4D94095E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本基金为洛龙区慈善协会•洛阳朝霞文化股份有限公司“佰仁荣英”慈善基金，该基金账户设在乙方。</w:t>
      </w:r>
    </w:p>
    <w:p w14:paraId="7D4D9A64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</w:p>
    <w:p w14:paraId="433847F2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5" w:firstLineChars="200"/>
        <w:rPr>
          <w:rFonts w:cs="仿宋_GB2312" w:asciiTheme="minorEastAsia" w:hAnsiTheme="minorEastAsia" w:eastAsiaTheme="minorEastAsia"/>
          <w:b/>
          <w:bCs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b/>
          <w:bCs/>
          <w:spacing w:val="-9"/>
          <w:w w:val="95"/>
          <w:sz w:val="32"/>
          <w:szCs w:val="32"/>
        </w:rPr>
        <w:t>第二条  基金资金来源</w:t>
      </w:r>
    </w:p>
    <w:p w14:paraId="612CDEDC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1.甲方捐赠</w:t>
      </w:r>
    </w:p>
    <w:p w14:paraId="116E96DC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甲方首次捐赠人民币</w:t>
      </w: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  <w:u w:val="single"/>
        </w:rPr>
        <w:t xml:space="preserve">   拾万 </w:t>
      </w:r>
      <w:r>
        <w:rPr>
          <w:rFonts w:hint="default" w:cs="仿宋_GB2312" w:asciiTheme="minorEastAsia" w:hAnsiTheme="minorEastAsia" w:eastAsiaTheme="minorEastAsia"/>
          <w:spacing w:val="-9"/>
          <w:w w:val="95"/>
          <w:sz w:val="32"/>
          <w:szCs w:val="32"/>
          <w:u w:val="single"/>
        </w:rPr>
        <w:t xml:space="preserve"> </w:t>
      </w: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元( ¥</w:t>
      </w: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  <w:u w:val="single"/>
        </w:rPr>
        <w:t xml:space="preserve"> 100000.00 </w:t>
      </w: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) ，乙方收到甲方该首笔捐款后，该基金正式设立。</w:t>
      </w:r>
    </w:p>
    <w:p w14:paraId="5A9E2FD7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2.甲方注资</w:t>
      </w:r>
    </w:p>
    <w:p w14:paraId="28E92CDC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基金设立后，甲方可通过自行捐赠、使用“洛龙区慈善协会 • 洛阳朝霞文化股份有限公司‘佰仁荣英’慈善基金”名义定向募捐、公开募捐、消费捐等形式向基金注资。</w:t>
      </w:r>
    </w:p>
    <w:p w14:paraId="01D8216B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甲方欲通过公开募捐向基金注资的，应提前书面报告乙方，征得乙方同意，并按照《中华人民共和国慈善法》的相关规定执行。</w:t>
      </w:r>
    </w:p>
    <w:p w14:paraId="2E50AC08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甲方不得自行收取以“洛龙区慈善协会 • 洛阳朝霞文化股份有限公司‘佰仁荣英’慈善基金”名义定向募捐及公开募捐资金，应在募捐过程中明示募捐资金向基金账户直接注资。</w:t>
      </w:r>
    </w:p>
    <w:p w14:paraId="67E48A34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5" w:firstLineChars="200"/>
        <w:rPr>
          <w:rFonts w:cs="仿宋_GB2312" w:asciiTheme="minorEastAsia" w:hAnsiTheme="minorEastAsia" w:eastAsiaTheme="minorEastAsia"/>
          <w:b/>
          <w:bCs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b/>
          <w:bCs/>
          <w:spacing w:val="-9"/>
          <w:w w:val="95"/>
          <w:sz w:val="32"/>
          <w:szCs w:val="32"/>
        </w:rPr>
        <w:t>第三条  基金用途</w:t>
      </w:r>
    </w:p>
    <w:p w14:paraId="76005051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本基金主要用于以下慈善项目：</w:t>
      </w:r>
    </w:p>
    <w:p w14:paraId="19AF04C9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1.敬老爱幼、扶贫济困、幸福家园等公益项目。</w:t>
      </w:r>
    </w:p>
    <w:p w14:paraId="006DD9FD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2.</w:t>
      </w:r>
      <w:r>
        <w:rPr>
          <w:rFonts w:cs="仿宋_GB2312" w:asciiTheme="minorEastAsia" w:hAnsiTheme="minorEastAsia" w:eastAsiaTheme="minorEastAsia"/>
          <w:color w:val="EE0000"/>
          <w:spacing w:val="-9"/>
          <w:w w:val="95"/>
          <w:sz w:val="32"/>
          <w:szCs w:val="32"/>
        </w:rPr>
        <w:t>洛阳泰伦德学校优秀学生、困难学生、在职教师及配偶重病困难、学校建设资助；洛阳朝霞文化股份有限公司优秀员工、困难员工及家属重病困难资助。</w:t>
      </w:r>
    </w:p>
    <w:p w14:paraId="1234CB5A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3.符合《慈善法》规定的其他慈善项目和公益活动。</w:t>
      </w:r>
    </w:p>
    <w:p w14:paraId="38C64540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</w:p>
    <w:p w14:paraId="0E69FE63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5" w:firstLineChars="200"/>
        <w:rPr>
          <w:rFonts w:cs="仿宋_GB2312" w:asciiTheme="minorEastAsia" w:hAnsiTheme="minorEastAsia" w:eastAsiaTheme="minorEastAsia"/>
          <w:b/>
          <w:bCs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b/>
          <w:bCs/>
          <w:spacing w:val="-9"/>
          <w:w w:val="95"/>
          <w:sz w:val="32"/>
          <w:szCs w:val="32"/>
        </w:rPr>
        <w:t>第四条 捐赠款交付方式</w:t>
      </w:r>
    </w:p>
    <w:p w14:paraId="1350C268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1.甲方保证在协议签订后</w:t>
      </w: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  <w:u w:val="single"/>
        </w:rPr>
        <w:t xml:space="preserve">  5  </w:t>
      </w: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 xml:space="preserve">个工作日内将该首笔捐赠款人民币    </w:t>
      </w: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  <w:u w:val="single"/>
        </w:rPr>
        <w:t xml:space="preserve">拾万元  </w:t>
      </w: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( ¥</w:t>
      </w: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  <w:u w:val="single"/>
        </w:rPr>
        <w:t xml:space="preserve"> 100000.00 </w:t>
      </w: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)一次性转入乙方账户。</w:t>
      </w:r>
    </w:p>
    <w:p w14:paraId="1C3ECA3A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2.甲方向基金的注资，可与乙方约定额度和交付方式， 但必须全额进入乙方账户。</w:t>
      </w:r>
    </w:p>
    <w:p w14:paraId="2FE0E09F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基金账户如下：</w:t>
      </w:r>
    </w:p>
    <w:p w14:paraId="61160D86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银行账户： 洛阳市洛龙区慈善协会</w:t>
      </w:r>
    </w:p>
    <w:p w14:paraId="2611BEC0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银行账号： 672010090000000187</w:t>
      </w:r>
    </w:p>
    <w:p w14:paraId="11CF82E6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开户行：中原银行洛阳分行营业部</w:t>
      </w:r>
    </w:p>
    <w:p w14:paraId="60DD7F67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5" w:firstLineChars="200"/>
        <w:rPr>
          <w:rFonts w:cs="仿宋_GB2312" w:asciiTheme="minorEastAsia" w:hAnsiTheme="minorEastAsia" w:eastAsiaTheme="minorEastAsia"/>
          <w:b/>
          <w:bCs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b/>
          <w:bCs/>
          <w:spacing w:val="-9"/>
          <w:w w:val="95"/>
          <w:sz w:val="32"/>
          <w:szCs w:val="32"/>
        </w:rPr>
        <w:t>第五条  基金使用</w:t>
      </w:r>
    </w:p>
    <w:p w14:paraId="2C6D880F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2" w:firstLineChars="200"/>
        <w:rPr>
          <w:rFonts w:hint="default"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1.由基金设立方提出资金使用申请，申请需由经办人和负责人在书面申请上签字确认，呈报洛龙区慈善协会审核批准后，可以使用基金开展本协议第三条所列范围内的活动。</w:t>
      </w:r>
    </w:p>
    <w:p w14:paraId="0DDB9EB9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2. 按照《中华人民共和国慈善法》第六十一条“年度管理费用不得超过当年总支出的百分之十”。乙方每年依据本基金当年募集资金总额的10％以下收取年度管理费。经双方协商，本基金项目捐赠款暂不收取甲方的管理费。</w:t>
      </w:r>
    </w:p>
    <w:p w14:paraId="010961AC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5" w:firstLineChars="200"/>
        <w:rPr>
          <w:rFonts w:cs="仿宋_GB2312" w:asciiTheme="minorEastAsia" w:hAnsiTheme="minorEastAsia" w:eastAsiaTheme="minorEastAsia"/>
          <w:b/>
          <w:bCs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b/>
          <w:bCs/>
          <w:spacing w:val="-9"/>
          <w:w w:val="95"/>
          <w:sz w:val="32"/>
          <w:szCs w:val="32"/>
        </w:rPr>
        <w:t>第六条  资金管理</w:t>
      </w:r>
    </w:p>
    <w:p w14:paraId="5FF4BC21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1.乙方根据慈善资金管理法规， 每年依据本基金当年募集资金总额的</w:t>
      </w: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  <w:u w:val="single"/>
        </w:rPr>
        <w:t xml:space="preserve">      </w:t>
      </w: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％（ 甲、乙双方各占</w:t>
      </w: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  <w:u w:val="single"/>
        </w:rPr>
        <w:t xml:space="preserve">     </w:t>
      </w: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%）收取运行管理费用。</w:t>
      </w:r>
    </w:p>
    <w:p w14:paraId="4AE2241E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2.本协议第三条用于敬老爱幼、扶贫济困、幸福家园、优秀学生、困难学生、在职教师及配偶重病困难资助、优秀员工、困难员工及家属重病困难资助</w:t>
      </w: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等规定事项，由甲方根据内部管理规定的流程提出，乙方依据慈善工作的有关程序给予及时安排。</w:t>
      </w:r>
    </w:p>
    <w:p w14:paraId="609067F1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3.根据本协议第三条第二款规定，拟用于《慈善法》规定的慈善</w:t>
      </w:r>
      <w:bookmarkStart w:id="1" w:name="Scan_0008"/>
      <w:bookmarkEnd w:id="1"/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用途时，要优先考虑甲方的事业方向、公益宣传、帮扶重点等需求。</w:t>
      </w:r>
    </w:p>
    <w:p w14:paraId="1EF0689C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5" w:firstLineChars="200"/>
        <w:rPr>
          <w:rFonts w:cs="仿宋_GB2312" w:asciiTheme="minorEastAsia" w:hAnsiTheme="minorEastAsia" w:eastAsiaTheme="minorEastAsia"/>
          <w:b/>
          <w:bCs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b/>
          <w:bCs/>
          <w:spacing w:val="-9"/>
          <w:w w:val="95"/>
          <w:sz w:val="32"/>
          <w:szCs w:val="32"/>
        </w:rPr>
        <w:t>第七条</w:t>
      </w:r>
      <w:r>
        <w:rPr>
          <w:rFonts w:cs="仿宋_GB2312" w:asciiTheme="minorEastAsia" w:hAnsiTheme="minorEastAsia" w:eastAsiaTheme="minorEastAsia"/>
          <w:b/>
          <w:bCs/>
          <w:spacing w:val="-9"/>
          <w:w w:val="95"/>
          <w:sz w:val="32"/>
          <w:szCs w:val="32"/>
        </w:rPr>
        <w:tab/>
      </w:r>
      <w:r>
        <w:rPr>
          <w:rFonts w:cs="仿宋_GB2312" w:asciiTheme="minorEastAsia" w:hAnsiTheme="minorEastAsia" w:eastAsiaTheme="minorEastAsia"/>
          <w:b/>
          <w:bCs/>
          <w:spacing w:val="-9"/>
          <w:w w:val="95"/>
          <w:sz w:val="32"/>
          <w:szCs w:val="32"/>
        </w:rPr>
        <w:t>甲方的权利与义务</w:t>
      </w:r>
    </w:p>
    <w:p w14:paraId="07E9FD45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1.甲方负责筹集本基金资金，并提出基金使用的具体项目建议，安排专人与乙方对接，协助乙方管理本基金。</w:t>
      </w:r>
    </w:p>
    <w:p w14:paraId="36A5F651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2.甲方有权向乙方查询基金的管理使用情况，并提出意见和建议。</w:t>
      </w:r>
    </w:p>
    <w:p w14:paraId="17E74863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3.甲方有权就捐赠行为进行非营利性客观宣传，但在宣传前需取得乙方书面同意。</w:t>
      </w:r>
    </w:p>
    <w:p w14:paraId="1ED0B1F8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4.甲方不得指定其利害关系人为基金受益人。</w:t>
      </w:r>
    </w:p>
    <w:p w14:paraId="2F45A9AF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5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b/>
          <w:bCs/>
          <w:spacing w:val="-9"/>
          <w:w w:val="95"/>
          <w:sz w:val="32"/>
          <w:szCs w:val="32"/>
        </w:rPr>
        <w:t>第八条</w:t>
      </w:r>
      <w:r>
        <w:rPr>
          <w:rFonts w:cs="仿宋_GB2312" w:asciiTheme="minorEastAsia" w:hAnsiTheme="minorEastAsia" w:eastAsiaTheme="minorEastAsia"/>
          <w:b/>
          <w:bCs/>
          <w:spacing w:val="-9"/>
          <w:w w:val="95"/>
          <w:sz w:val="32"/>
          <w:szCs w:val="32"/>
        </w:rPr>
        <w:tab/>
      </w:r>
      <w:r>
        <w:rPr>
          <w:rFonts w:cs="仿宋_GB2312" w:asciiTheme="minorEastAsia" w:hAnsiTheme="minorEastAsia" w:eastAsiaTheme="minorEastAsia"/>
          <w:b/>
          <w:bCs/>
          <w:spacing w:val="-9"/>
          <w:w w:val="95"/>
          <w:sz w:val="32"/>
          <w:szCs w:val="32"/>
        </w:rPr>
        <w:t>乙方的权利与义务</w:t>
      </w: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 xml:space="preserve">               </w:t>
      </w:r>
    </w:p>
    <w:p w14:paraId="47482CD1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1.本基金由乙方在账户中设立专门科目独立核算，确保资金专款专用。</w:t>
      </w:r>
    </w:p>
    <w:p w14:paraId="62F141B8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2.乙方</w:t>
      </w: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 xml:space="preserve">负责基金捐款的接收、管理、支付和开具票据工作，确保资金使用透明、合规。 </w:t>
      </w:r>
    </w:p>
    <w:p w14:paraId="616DF9A4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3.乙方</w:t>
      </w: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严格按照协议约定监督本基金使用情况，确保资金用途符合协议规定。</w:t>
      </w:r>
    </w:p>
    <w:p w14:paraId="36EC30D5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4.乙方应确保受赠款物及时足额拨付使用，并通过乙方网站或其他公开渠道定期通报基金信息。</w:t>
      </w:r>
    </w:p>
    <w:p w14:paraId="1E1A2C3B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5" w:firstLineChars="200"/>
        <w:rPr>
          <w:rFonts w:cs="仿宋_GB2312" w:asciiTheme="minorEastAsia" w:hAnsiTheme="minorEastAsia" w:eastAsiaTheme="minorEastAsia"/>
          <w:b/>
          <w:bCs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b/>
          <w:bCs/>
          <w:spacing w:val="-9"/>
          <w:w w:val="95"/>
          <w:sz w:val="32"/>
          <w:szCs w:val="32"/>
        </w:rPr>
        <w:t>第九条</w:t>
      </w:r>
      <w:r>
        <w:rPr>
          <w:rFonts w:cs="仿宋_GB2312" w:asciiTheme="minorEastAsia" w:hAnsiTheme="minorEastAsia" w:eastAsiaTheme="minorEastAsia"/>
          <w:b/>
          <w:bCs/>
          <w:spacing w:val="-9"/>
          <w:w w:val="95"/>
          <w:sz w:val="32"/>
          <w:szCs w:val="32"/>
        </w:rPr>
        <w:tab/>
      </w:r>
      <w:r>
        <w:rPr>
          <w:rFonts w:cs="仿宋_GB2312" w:asciiTheme="minorEastAsia" w:hAnsiTheme="minorEastAsia" w:eastAsiaTheme="minorEastAsia"/>
          <w:b/>
          <w:bCs/>
          <w:spacing w:val="-9"/>
          <w:w w:val="95"/>
          <w:sz w:val="32"/>
          <w:szCs w:val="32"/>
        </w:rPr>
        <w:t>基金协议生效及终止</w:t>
      </w:r>
    </w:p>
    <w:p w14:paraId="4E20E5FB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本协议自</w:t>
      </w: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ab/>
      </w: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 xml:space="preserve">   </w:t>
      </w: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 xml:space="preserve">年     </w:t>
      </w: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 xml:space="preserve">月     </w:t>
      </w: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日开始生效，长期有效。如需终止或变更，</w:t>
      </w: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双方可另行签订补充协议或终止协议。</w:t>
      </w:r>
    </w:p>
    <w:p w14:paraId="3E350ECE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基金终止情形：</w:t>
      </w:r>
    </w:p>
    <w:p w14:paraId="57A66D70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1.基金已使用完或余额不足3000元，且甲方明确不再捐赠</w:t>
      </w: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；</w:t>
      </w:r>
    </w:p>
    <w:p w14:paraId="26C13516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2.按照国家有关规定需要终止的其他条件；</w:t>
      </w:r>
    </w:p>
    <w:p w14:paraId="6F4C925F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3.双方协商一致同意终止基金。</w:t>
      </w:r>
    </w:p>
    <w:p w14:paraId="77CF9B73">
      <w:pPr>
        <w:pStyle w:val="10"/>
        <w:tabs>
          <w:tab w:val="left" w:pos="1268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基金终止程序：</w:t>
      </w:r>
    </w:p>
    <w:p w14:paraId="6C19ECD3">
      <w:pPr>
        <w:pStyle w:val="10"/>
        <w:tabs>
          <w:tab w:val="left" w:pos="1281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1.发生终止基金情形时，由乙方书面函告甲方。</w:t>
      </w:r>
    </w:p>
    <w:p w14:paraId="5D1E46D6">
      <w:pPr>
        <w:pStyle w:val="10"/>
        <w:tabs>
          <w:tab w:val="left" w:pos="1262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2.若甲方自收到函件之日起</w:t>
      </w: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  <w:u w:val="single"/>
        </w:rPr>
        <w:t xml:space="preserve">   5   </w:t>
      </w: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 xml:space="preserve">个工作日内未采取措施消除终止情形的，或者甲方地址变更致使邮件被退回、电话亦无法联系的，乙方可通过其网站公示 7   </w:t>
      </w: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日，无异议后自行终止基金。</w:t>
      </w:r>
    </w:p>
    <w:p w14:paraId="6D906245">
      <w:pPr>
        <w:pStyle w:val="10"/>
        <w:tabs>
          <w:tab w:val="left" w:pos="1262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3.基金终止后尚有余额的，由乙方用于其宗旨相关的公益慈善项目和活动，并通过乙方网站公示资金用途</w:t>
      </w: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。</w:t>
      </w:r>
      <w:bookmarkStart w:id="2" w:name="Scan_0009"/>
      <w:bookmarkEnd w:id="2"/>
    </w:p>
    <w:p w14:paraId="5716EBCC">
      <w:pPr>
        <w:pStyle w:val="10"/>
        <w:tabs>
          <w:tab w:val="left" w:pos="1262"/>
        </w:tabs>
        <w:kinsoku w:val="0"/>
        <w:overflowPunct w:val="0"/>
        <w:spacing w:line="600" w:lineRule="exact"/>
        <w:ind w:left="0" w:firstLine="575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b/>
          <w:bCs/>
          <w:spacing w:val="-9"/>
          <w:w w:val="95"/>
          <w:sz w:val="32"/>
          <w:szCs w:val="32"/>
        </w:rPr>
        <w:t>第十条 基金变更</w:t>
      </w:r>
    </w:p>
    <w:p w14:paraId="2560DF55">
      <w:pPr>
        <w:pStyle w:val="10"/>
        <w:tabs>
          <w:tab w:val="left" w:pos="1262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甲乙双方应当严格按照协议约定使用基金。如需改变用途，双方应协商一致并形成书面补充</w:t>
      </w: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协议。补充协议需经甲乙双方签字盖章后方可生效。</w:t>
      </w:r>
    </w:p>
    <w:p w14:paraId="10647AC7">
      <w:pPr>
        <w:pStyle w:val="10"/>
        <w:tabs>
          <w:tab w:val="left" w:pos="1281"/>
        </w:tabs>
        <w:kinsoku w:val="0"/>
        <w:overflowPunct w:val="0"/>
        <w:spacing w:line="600" w:lineRule="exact"/>
        <w:ind w:left="0" w:firstLine="575" w:firstLineChars="200"/>
        <w:rPr>
          <w:rFonts w:cs="仿宋_GB2312" w:asciiTheme="minorEastAsia" w:hAnsiTheme="minorEastAsia" w:eastAsiaTheme="minorEastAsia"/>
          <w:b/>
          <w:bCs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b/>
          <w:bCs/>
          <w:spacing w:val="-9"/>
          <w:w w:val="95"/>
          <w:sz w:val="32"/>
          <w:szCs w:val="32"/>
        </w:rPr>
        <w:t>第十一条  争议解决</w:t>
      </w:r>
    </w:p>
    <w:p w14:paraId="79C6CEED">
      <w:pPr>
        <w:pStyle w:val="10"/>
        <w:tabs>
          <w:tab w:val="left" w:pos="1281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1.双方在</w:t>
      </w: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履行本协议过程中发生争议时，应当友好协商解决，协商达不成的，任何一方</w:t>
      </w: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可向乙方所在地人民法院提起诉讼。</w:t>
      </w:r>
    </w:p>
    <w:p w14:paraId="5AFD417F">
      <w:pPr>
        <w:pStyle w:val="10"/>
        <w:tabs>
          <w:tab w:val="left" w:pos="1281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2.双方确认同意以本</w:t>
      </w:r>
      <w:r>
        <w:rPr>
          <w:rFonts w:cs="仿宋_GB2312" w:asciiTheme="minorEastAsia" w:hAnsiTheme="minorEastAsia" w:eastAsiaTheme="minorEastAsia"/>
          <w:color w:val="EE0000"/>
          <w:spacing w:val="-9"/>
          <w:w w:val="95"/>
          <w:sz w:val="32"/>
          <w:szCs w:val="32"/>
        </w:rPr>
        <w:t>协议</w:t>
      </w: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最后签章处各方所</w:t>
      </w:r>
      <w:r>
        <w:rPr>
          <w:rFonts w:cs="仿宋_GB2312" w:asciiTheme="minorEastAsia" w:hAnsiTheme="minorEastAsia" w:eastAsiaTheme="minorEastAsia"/>
          <w:color w:val="EE0000"/>
          <w:spacing w:val="-9"/>
          <w:w w:val="95"/>
          <w:sz w:val="32"/>
          <w:szCs w:val="32"/>
        </w:rPr>
        <w:t>列</w:t>
      </w: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地址及联系人的联系方式作为本</w:t>
      </w:r>
      <w:r>
        <w:rPr>
          <w:rFonts w:cs="仿宋_GB2312" w:asciiTheme="minorEastAsia" w:hAnsiTheme="minorEastAsia" w:eastAsiaTheme="minorEastAsia"/>
          <w:color w:val="EE0000"/>
          <w:spacing w:val="-9"/>
          <w:w w:val="95"/>
          <w:sz w:val="32"/>
          <w:szCs w:val="32"/>
        </w:rPr>
        <w:t>协议</w:t>
      </w: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履行过程中的来往件的有效送达地址，并且作为发生纠纷争议后人民法院送达相关法律文书（包括判决裁定等）的有效地址。因地址或联系方式错误或单方变更致无法送达的</w:t>
      </w:r>
      <w:bookmarkStart w:id="3" w:name="_GoBack"/>
      <w:bookmarkEnd w:id="3"/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，自交邮后第7日视为有效送达。</w:t>
      </w:r>
    </w:p>
    <w:p w14:paraId="40C69874">
      <w:pPr>
        <w:pStyle w:val="10"/>
        <w:tabs>
          <w:tab w:val="left" w:pos="1281"/>
        </w:tabs>
        <w:kinsoku w:val="0"/>
        <w:overflowPunct w:val="0"/>
        <w:spacing w:line="600" w:lineRule="exact"/>
        <w:ind w:left="0" w:firstLine="575" w:firstLineChars="200"/>
        <w:rPr>
          <w:rFonts w:cs="仿宋_GB2312" w:asciiTheme="minorEastAsia" w:hAnsiTheme="minorEastAsia" w:eastAsiaTheme="minorEastAsia"/>
          <w:b/>
          <w:bCs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b/>
          <w:bCs/>
          <w:spacing w:val="-9"/>
          <w:w w:val="95"/>
          <w:sz w:val="32"/>
          <w:szCs w:val="32"/>
        </w:rPr>
        <w:t>第十二条  协议未尽事宜</w:t>
      </w:r>
    </w:p>
    <w:p w14:paraId="1DD36286">
      <w:pPr>
        <w:pStyle w:val="10"/>
        <w:tabs>
          <w:tab w:val="left" w:pos="1281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1.</w:t>
      </w:r>
      <w:r>
        <w:rPr>
          <w:color w:val="EE0000"/>
        </w:rPr>
        <w:t xml:space="preserve"> </w:t>
      </w:r>
      <w:r>
        <w:rPr>
          <w:rFonts w:cs="仿宋_GB2312" w:asciiTheme="minorEastAsia" w:hAnsiTheme="minorEastAsia" w:eastAsiaTheme="minorEastAsia"/>
          <w:color w:val="EE0000"/>
          <w:spacing w:val="-9"/>
          <w:w w:val="95"/>
          <w:sz w:val="32"/>
          <w:szCs w:val="32"/>
        </w:rPr>
        <w:t>本协议未尽事宜，</w:t>
      </w: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双方可协商签订补充协议。补充协议与本协议具有同等法律效力。</w:t>
      </w:r>
    </w:p>
    <w:p w14:paraId="517773FD">
      <w:pPr>
        <w:pStyle w:val="10"/>
        <w:tabs>
          <w:tab w:val="left" w:pos="1281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2.本协议一式肆份，甲方持贰份，乙方持贰份，自甲乙双方签字盖章之日起生效。</w:t>
      </w:r>
    </w:p>
    <w:p w14:paraId="659480BC">
      <w:pPr>
        <w:pStyle w:val="10"/>
        <w:tabs>
          <w:tab w:val="left" w:pos="1281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</w:p>
    <w:p w14:paraId="6EA98B6C">
      <w:pPr>
        <w:pStyle w:val="10"/>
        <w:tabs>
          <w:tab w:val="left" w:pos="1281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甲方：                                 乙方： 洛龙区慈善协会</w:t>
      </w:r>
    </w:p>
    <w:p w14:paraId="79569841">
      <w:pPr>
        <w:pStyle w:val="10"/>
        <w:tabs>
          <w:tab w:val="left" w:pos="1281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负责人：                               负责人：</w:t>
      </w:r>
    </w:p>
    <w:p w14:paraId="0A1BF6B8">
      <w:pPr>
        <w:pStyle w:val="10"/>
        <w:tabs>
          <w:tab w:val="left" w:pos="1281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经办人：                               经办人：</w:t>
      </w:r>
    </w:p>
    <w:p w14:paraId="6DD4A31E">
      <w:pPr>
        <w:pStyle w:val="10"/>
        <w:tabs>
          <w:tab w:val="left" w:pos="1281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 xml:space="preserve">电话 ：                                电话： </w:t>
      </w:r>
    </w:p>
    <w:p w14:paraId="1182B189">
      <w:pPr>
        <w:pStyle w:val="10"/>
        <w:tabs>
          <w:tab w:val="left" w:pos="1281"/>
        </w:tabs>
        <w:kinsoku w:val="0"/>
        <w:overflowPunct w:val="0"/>
        <w:spacing w:line="600" w:lineRule="exact"/>
        <w:ind w:left="0" w:firstLine="572" w:firstLineChars="2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</w:p>
    <w:p w14:paraId="2E8B3DB3">
      <w:pPr>
        <w:pStyle w:val="10"/>
        <w:tabs>
          <w:tab w:val="left" w:pos="1281"/>
        </w:tabs>
        <w:kinsoku w:val="0"/>
        <w:overflowPunct w:val="0"/>
        <w:spacing w:line="600" w:lineRule="exact"/>
        <w:ind w:left="0" w:firstLine="1716" w:firstLineChars="600"/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</w:pPr>
      <w:r>
        <w:rPr>
          <w:rFonts w:cs="仿宋_GB2312" w:asciiTheme="minorEastAsia" w:hAnsiTheme="minorEastAsia" w:eastAsiaTheme="minorEastAsia"/>
          <w:spacing w:val="-9"/>
          <w:w w:val="95"/>
          <w:sz w:val="32"/>
          <w:szCs w:val="32"/>
        </w:rPr>
        <w:t>年    月    日                   年    月    日</w:t>
      </w:r>
    </w:p>
    <w:sectPr>
      <w:footerReference r:id="rId3" w:type="default"/>
      <w:pgSz w:w="11930" w:h="16850"/>
      <w:pgMar w:top="2098" w:right="1474" w:bottom="1984" w:left="158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34F6F7">
    <w:pPr>
      <w:pStyle w:val="6"/>
    </w:pPr>
    <w:r>
      <w:rPr>
        <w:rFonts w:hint="defaul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47570DA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6pebnPAAAABQEAAA8AAAAAAAAA&#10;AQAgAAAAIgAAAGRycy9kb3ducmV2LnhtbFBLAQIUABQAAAAIAIdO4kAX03Hp4QEAAMwDAAAOAAAA&#10;AAAAAAEAIAAAAB4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47570DA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5MWNiOGM3NDBkY2MzNjYyMmVkMjViYWMzYzg5MTYifQ=="/>
  </w:docVars>
  <w:rsids>
    <w:rsidRoot w:val="007924DF"/>
    <w:rsid w:val="00013674"/>
    <w:rsid w:val="00020791"/>
    <w:rsid w:val="00054F4E"/>
    <w:rsid w:val="00091E95"/>
    <w:rsid w:val="00214AEE"/>
    <w:rsid w:val="00270D1E"/>
    <w:rsid w:val="00395644"/>
    <w:rsid w:val="004723E5"/>
    <w:rsid w:val="004A1687"/>
    <w:rsid w:val="004A2BAF"/>
    <w:rsid w:val="005E6F20"/>
    <w:rsid w:val="007924DF"/>
    <w:rsid w:val="007F71CF"/>
    <w:rsid w:val="00814E45"/>
    <w:rsid w:val="008750FB"/>
    <w:rsid w:val="008E54A7"/>
    <w:rsid w:val="009035C8"/>
    <w:rsid w:val="009669B3"/>
    <w:rsid w:val="009970EB"/>
    <w:rsid w:val="00A005C8"/>
    <w:rsid w:val="00AB6113"/>
    <w:rsid w:val="00B663BD"/>
    <w:rsid w:val="00BD2DC2"/>
    <w:rsid w:val="00C43E63"/>
    <w:rsid w:val="00C67D8D"/>
    <w:rsid w:val="00D03C8B"/>
    <w:rsid w:val="00D063C8"/>
    <w:rsid w:val="00D212C1"/>
    <w:rsid w:val="00D80702"/>
    <w:rsid w:val="00DE0A9E"/>
    <w:rsid w:val="00E934E4"/>
    <w:rsid w:val="04C26286"/>
    <w:rsid w:val="07AC5F6B"/>
    <w:rsid w:val="0DBE6D1A"/>
    <w:rsid w:val="0E8A0CB9"/>
    <w:rsid w:val="12866483"/>
    <w:rsid w:val="16280C75"/>
    <w:rsid w:val="18F20B2B"/>
    <w:rsid w:val="19A35324"/>
    <w:rsid w:val="20790B8D"/>
    <w:rsid w:val="24CF521F"/>
    <w:rsid w:val="2A8C5AB1"/>
    <w:rsid w:val="2A991ADE"/>
    <w:rsid w:val="34E14386"/>
    <w:rsid w:val="36B96428"/>
    <w:rsid w:val="3AC9070A"/>
    <w:rsid w:val="3B5930C4"/>
    <w:rsid w:val="3DF77869"/>
    <w:rsid w:val="44A011AF"/>
    <w:rsid w:val="48BD469B"/>
    <w:rsid w:val="4A3D2AA8"/>
    <w:rsid w:val="4C3662F5"/>
    <w:rsid w:val="6155082A"/>
    <w:rsid w:val="638C3570"/>
    <w:rsid w:val="6B3A1B5B"/>
    <w:rsid w:val="6C2054AB"/>
    <w:rsid w:val="7A1E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1" w:semiHidden="0" w:name="Normal"/>
    <w:lsdException w:qFormat="1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qFormat/>
    <w:uiPriority w:val="1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sz w:val="22"/>
      <w:szCs w:val="24"/>
      <w:lang w:val="en-US" w:eastAsia="zh-CN" w:bidi="ar-SA"/>
    </w:rPr>
  </w:style>
  <w:style w:type="paragraph" w:styleId="4">
    <w:name w:val="heading 1"/>
    <w:basedOn w:val="1"/>
    <w:unhideWhenUsed/>
    <w:qFormat/>
    <w:uiPriority w:val="1"/>
    <w:pPr>
      <w:ind w:left="107"/>
      <w:outlineLvl w:val="0"/>
    </w:pPr>
    <w:rPr>
      <w:sz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  <w:rPr>
      <w:rFonts w:ascii="Times New Roman" w:hAnsi="Times New Roman"/>
    </w:rPr>
  </w:style>
  <w:style w:type="paragraph" w:styleId="3">
    <w:name w:val="Body Text Indent"/>
    <w:basedOn w:val="1"/>
    <w:qFormat/>
    <w:uiPriority w:val="0"/>
    <w:pPr>
      <w:ind w:firstLine="560" w:firstLineChars="200"/>
    </w:pPr>
  </w:style>
  <w:style w:type="paragraph" w:styleId="5">
    <w:name w:val="Body Text"/>
    <w:basedOn w:val="1"/>
    <w:unhideWhenUsed/>
    <w:qFormat/>
    <w:uiPriority w:val="1"/>
    <w:rPr>
      <w:sz w:val="29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header"/>
    <w:basedOn w:val="1"/>
    <w:link w:val="11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List Paragraph"/>
    <w:basedOn w:val="1"/>
    <w:unhideWhenUsed/>
    <w:qFormat/>
    <w:uiPriority w:val="1"/>
    <w:pPr>
      <w:ind w:left="808" w:firstLine="644"/>
    </w:pPr>
    <w:rPr>
      <w:sz w:val="24"/>
    </w:rPr>
  </w:style>
  <w:style w:type="character" w:customStyle="1" w:styleId="11">
    <w:name w:val="页眉 字符"/>
    <w:basedOn w:val="9"/>
    <w:link w:val="7"/>
    <w:uiPriority w:val="0"/>
    <w:rPr>
      <w:rFonts w:ascii="宋体" w:hAnsi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2156</Words>
  <Characters>2247</Characters>
  <Lines>73</Lines>
  <Paragraphs>84</Paragraphs>
  <TotalTime>237</TotalTime>
  <ScaleCrop>false</ScaleCrop>
  <LinksUpToDate>false</LinksUpToDate>
  <CharactersWithSpaces>2527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2025-03-19T02:25:00Z</dcterms:created>
  <dc:creator>pc</dc:creator>
  <cp:lastModifiedBy>陈*华%工信</cp:lastModifiedBy>
  <cp:lastPrinted>2025-09-15T09:05:00Z</cp:lastPrinted>
  <dcterms:modified xsi:type="dcterms:W3CDTF">2025-10-21T02:19:52Z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CF0C0A8084B347348D19DD82B65E42BE_13</vt:lpwstr>
  </property>
  <property fmtid="{D5CDD505-2E9C-101B-9397-08002B2CF9AE}" pid="4" name="KSOTemplateDocerSaveRecord">
    <vt:lpwstr>eyJoZGlkIjoiNjBkYjYzZjg2MTY2OGU2ODUxMDExYzVjNjliNGQzNzciLCJ1c2VySWQiOiIyODQ5ODA2MzQifQ==</vt:lpwstr>
  </property>
</Properties>
</file>