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line="547" w:lineRule="exact"/>
        <w:ind w:firstLine="1440" w:firstLineChars="300"/>
        <w:jc w:val="left"/>
        <w:rPr>
          <w:rFonts w:hint="eastAsia" w:ascii="方正小标宋简体" w:hAnsi="方正小标宋简体" w:eastAsia="方正小标宋简体" w:cs="方正小标宋简体"/>
          <w:sz w:val="48"/>
        </w:rPr>
      </w:pPr>
      <w:r>
        <w:rPr>
          <w:rFonts w:hint="eastAsia" w:ascii="方正小标宋简体" w:hAnsi="方正小标宋简体" w:eastAsia="方正小标宋简体" w:cs="方正小标宋简体"/>
          <w:sz w:val="48"/>
        </w:rPr>
        <w:t>重庆市铜梁群团公益基金会</w:t>
      </w:r>
    </w:p>
    <w:p>
      <w:pPr>
        <w:widowControl/>
        <w:autoSpaceDE/>
        <w:autoSpaceDN/>
        <w:rPr>
          <w:rFonts w:hint="eastAsia" w:ascii="方正小标宋简体" w:hAnsi="方正小标宋简体" w:eastAsia="方正小标宋简体" w:cs="方正小标宋简体"/>
          <w:sz w:val="48"/>
        </w:rPr>
      </w:pPr>
      <w:r>
        <w:rPr>
          <w:rFonts w:hint="eastAsia" w:ascii="方正小标宋简体" w:hAnsi="方正小标宋简体" w:eastAsia="方正小标宋简体" w:cs="方正小标宋简体"/>
          <w:sz w:val="48"/>
        </w:rPr>
        <w:t>　　　　　　财务管理制度</w:t>
      </w:r>
    </w:p>
    <w:p>
      <w:pPr>
        <w:widowControl/>
        <w:autoSpaceDE/>
        <w:autoSpaceDN/>
        <w:rPr>
          <w:rFonts w:ascii="黑体" w:eastAsia="黑体"/>
          <w:sz w:val="48"/>
        </w:rPr>
      </w:pPr>
    </w:p>
    <w:p>
      <w:pPr>
        <w:pStyle w:val="11"/>
        <w:spacing w:before="1"/>
        <w:ind w:left="3270" w:right="3308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bookmark0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第一章  总则</w:t>
      </w:r>
      <w:r>
        <w:rPr>
          <w:rFonts w:hint="eastAsia" w:ascii="方正仿宋_GBK" w:hAnsi="方正仿宋_GBK" w:eastAsia="方正仿宋_GBK" w:cs="方正仿宋_GBK"/>
          <w:w w:val="99"/>
          <w:sz w:val="32"/>
          <w:szCs w:val="32"/>
        </w:rPr>
        <w:t xml:space="preserve"> </w:t>
      </w:r>
    </w:p>
    <w:p>
      <w:pPr>
        <w:pStyle w:val="2"/>
        <w:spacing w:before="33" w:line="268" w:lineRule="auto"/>
        <w:ind w:right="437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2"/>
          <w:sz w:val="32"/>
          <w:szCs w:val="32"/>
        </w:rPr>
        <w:t xml:space="preserve">第一条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为加强财务管理，规范财务核算，根据《中华人</w:t>
      </w:r>
      <w:r>
        <w:rPr>
          <w:rFonts w:hint="eastAsia" w:ascii="方正仿宋_GBK" w:hAnsi="方正仿宋_GBK" w:eastAsia="方正仿宋_GBK" w:cs="方正仿宋_GBK"/>
          <w:spacing w:val="-18"/>
          <w:sz w:val="32"/>
          <w:szCs w:val="32"/>
        </w:rPr>
        <w:t>民共和国会计法》、《中华人民共和国慈善法》《民间非营利</w:t>
      </w:r>
      <w:r>
        <w:rPr>
          <w:rFonts w:hint="eastAsia" w:ascii="方正仿宋_GBK" w:hAnsi="方正仿宋_GBK" w:eastAsia="方正仿宋_GBK" w:cs="方正仿宋_GBK"/>
          <w:spacing w:val="-15"/>
          <w:sz w:val="32"/>
          <w:szCs w:val="32"/>
        </w:rPr>
        <w:t>组织会计制度》、《会计档案管理办法》等法律法规,结合本机构实际情况，制定本制度。</w:t>
      </w:r>
    </w:p>
    <w:p>
      <w:pPr>
        <w:pStyle w:val="2"/>
        <w:spacing w:line="479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第二条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财务管理的主要目标：规范资金使用；做好会计</w:t>
      </w:r>
    </w:p>
    <w:p>
      <w:pPr>
        <w:pStyle w:val="2"/>
        <w:spacing w:before="77" w:line="326" w:lineRule="auto"/>
        <w:ind w:right="39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核算与监督，加强内部控制，规范财务信息披露，做好财务档案管理，促进机构发展。</w:t>
      </w:r>
    </w:p>
    <w:p>
      <w:pPr>
        <w:pStyle w:val="2"/>
        <w:spacing w:line="480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第三条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采用《民间非营利组织会计制度》作为财务基本</w:t>
      </w:r>
    </w:p>
    <w:p>
      <w:pPr>
        <w:pStyle w:val="2"/>
        <w:spacing w:before="7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核算制度。</w:t>
      </w:r>
    </w:p>
    <w:p>
      <w:pPr>
        <w:pStyle w:val="11"/>
        <w:spacing w:before="110"/>
        <w:ind w:left="2565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" w:name="_bookmark1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第二章 财务岗位设置</w:t>
      </w:r>
      <w:r>
        <w:rPr>
          <w:rFonts w:hint="eastAsia" w:ascii="方正仿宋_GBK" w:hAnsi="方正仿宋_GBK" w:eastAsia="方正仿宋_GBK" w:cs="方正仿宋_GBK"/>
          <w:w w:val="99"/>
          <w:sz w:val="32"/>
          <w:szCs w:val="32"/>
        </w:rPr>
        <w:t xml:space="preserve"> </w:t>
      </w:r>
    </w:p>
    <w:p>
      <w:pPr>
        <w:pStyle w:val="2"/>
        <w:spacing w:before="34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第四条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设置设会计和出纳各一名，不得兼任。</w:t>
      </w:r>
    </w:p>
    <w:p>
      <w:pPr>
        <w:pStyle w:val="2"/>
        <w:spacing w:line="574" w:lineRule="exact"/>
        <w:ind w:left="0" w:firstLine="964" w:firstLineChars="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第五条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财务人员在办理财务事项时，必须坚持原则，对</w:t>
      </w:r>
    </w:p>
    <w:p>
      <w:pPr>
        <w:pStyle w:val="2"/>
        <w:spacing w:before="77" w:line="326" w:lineRule="auto"/>
        <w:ind w:right="436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于违反法律法规或单位制度的事项，有权拒绝执行，必要时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可向单位负责人报告。</w:t>
      </w:r>
    </w:p>
    <w:p>
      <w:pPr>
        <w:pStyle w:val="2"/>
        <w:spacing w:line="480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第六条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财务人员因工作变动或离职，须编制移交清单，</w:t>
      </w:r>
    </w:p>
    <w:p>
      <w:pPr>
        <w:pStyle w:val="2"/>
        <w:spacing w:before="77" w:line="326" w:lineRule="auto"/>
        <w:ind w:right="437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并将其所经办的财务工作移交给接替人员。财务人员办理交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接手续时，须有监交人，接替人员及监交人员分别在交接清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单上签字后，移交人员方可调离或离职。</w:t>
      </w:r>
    </w:p>
    <w:p>
      <w:pPr>
        <w:pStyle w:val="2"/>
        <w:spacing w:before="34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spacing w:line="417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1"/>
          <w:sz w:val="32"/>
          <w:szCs w:val="32"/>
        </w:rPr>
        <w:t>第三章 资金管理</w:t>
      </w:r>
      <w:r>
        <w:rPr>
          <w:rFonts w:hint="eastAsia" w:ascii="方正仿宋_GBK" w:hAnsi="方正仿宋_GBK" w:eastAsia="方正仿宋_GBK" w:cs="方正仿宋_GBK"/>
          <w:spacing w:val="21"/>
          <w:w w:val="99"/>
          <w:sz w:val="32"/>
          <w:szCs w:val="32"/>
        </w:rPr>
        <w:t xml:space="preserve"> </w:t>
      </w:r>
    </w:p>
    <w:p>
      <w:pPr>
        <w:pStyle w:val="2"/>
        <w:spacing w:before="33" w:line="268" w:lineRule="auto"/>
        <w:ind w:right="439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第七条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为细化资金管理，除以下条款，单独制定《重庆市铜梁群团公益基金会资金管理办法》。</w:t>
      </w:r>
    </w:p>
    <w:p>
      <w:pPr>
        <w:pStyle w:val="2"/>
        <w:spacing w:line="268" w:lineRule="auto"/>
        <w:ind w:right="435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2"/>
          <w:sz w:val="32"/>
          <w:szCs w:val="32"/>
        </w:rPr>
        <w:t xml:space="preserve">第八条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出纳应做好资金收支日常核算管理，资金收入与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支出应分开核算，不得坐支，不得白条顶库。</w:t>
      </w:r>
    </w:p>
    <w:p>
      <w:pPr>
        <w:pStyle w:val="2"/>
        <w:spacing w:line="268" w:lineRule="auto"/>
        <w:ind w:right="435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2"/>
          <w:sz w:val="32"/>
          <w:szCs w:val="32"/>
        </w:rPr>
        <w:t xml:space="preserve">第九条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 xml:space="preserve">库存现金余额一般不超过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pacing w:val="-24"/>
          <w:sz w:val="32"/>
          <w:szCs w:val="32"/>
        </w:rPr>
        <w:t xml:space="preserve"> 万元，超过部分应及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时存入银行账户。</w:t>
      </w:r>
    </w:p>
    <w:p>
      <w:pPr>
        <w:pStyle w:val="2"/>
        <w:spacing w:before="44" w:line="268" w:lineRule="auto"/>
        <w:ind w:right="287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第十条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做好备用金管理，做到专款专用，不得以借备用金名义挪用资金，借支事项完成后，应及时结清备用金。</w:t>
      </w:r>
    </w:p>
    <w:p>
      <w:pPr>
        <w:pStyle w:val="2"/>
        <w:spacing w:line="268" w:lineRule="auto"/>
        <w:ind w:right="435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2"/>
          <w:sz w:val="32"/>
          <w:szCs w:val="32"/>
        </w:rPr>
        <w:t xml:space="preserve">第十一条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出资人有借支单位备用金的，年底前应及时归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还借支的备用金。</w:t>
      </w:r>
    </w:p>
    <w:p>
      <w:pPr>
        <w:spacing w:line="580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第十二条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员工离职前，须结清所有备用金方可离职。</w:t>
      </w:r>
    </w:p>
    <w:p>
      <w:pPr>
        <w:pStyle w:val="11"/>
        <w:spacing w:before="32"/>
        <w:ind w:left="23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第四章 印章与票据管理</w:t>
      </w:r>
      <w:r>
        <w:rPr>
          <w:rFonts w:hint="eastAsia" w:ascii="方正仿宋_GBK" w:hAnsi="方正仿宋_GBK" w:eastAsia="方正仿宋_GBK" w:cs="方正仿宋_GBK"/>
          <w:w w:val="99"/>
          <w:sz w:val="32"/>
          <w:szCs w:val="32"/>
        </w:rPr>
        <w:t xml:space="preserve"> </w:t>
      </w:r>
    </w:p>
    <w:p>
      <w:pPr>
        <w:pStyle w:val="2"/>
        <w:spacing w:before="33" w:line="268" w:lineRule="auto"/>
        <w:ind w:right="435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2"/>
          <w:sz w:val="32"/>
          <w:szCs w:val="32"/>
        </w:rPr>
        <w:t xml:space="preserve">第十三条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法定代表人章由出纳保管，财务专用章由会计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保管。</w:t>
      </w:r>
    </w:p>
    <w:p>
      <w:pPr>
        <w:pStyle w:val="2"/>
        <w:spacing w:line="581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第十四条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网银支付 U 盾由出纳保管，授权 U 盾由会计保</w:t>
      </w:r>
    </w:p>
    <w:p>
      <w:pPr>
        <w:pStyle w:val="2"/>
        <w:spacing w:before="7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管。</w:t>
      </w:r>
    </w:p>
    <w:p>
      <w:pPr>
        <w:pStyle w:val="2"/>
        <w:spacing w:before="45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第十五条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严禁空白支票在使用前先盖上印章，空白支票</w:t>
      </w:r>
    </w:p>
    <w:p>
      <w:pPr>
        <w:pStyle w:val="2"/>
        <w:spacing w:before="7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及作废支票须保存好。</w:t>
      </w:r>
    </w:p>
    <w:p>
      <w:pPr>
        <w:pStyle w:val="2"/>
        <w:spacing w:before="23" w:line="560" w:lineRule="exact"/>
        <w:ind w:right="415" w:firstLine="668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2"/>
          <w:sz w:val="32"/>
          <w:szCs w:val="32"/>
        </w:rPr>
        <w:t xml:space="preserve">第十六条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 xml:space="preserve">捐赠相关事项涉及的票据主要依据文件——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财政部关于印发《公益事业捐赠票据使用管理暂行办法》的通知（财综[2010]112 号）执行。</w:t>
      </w:r>
    </w:p>
    <w:p>
      <w:pPr>
        <w:pStyle w:val="2"/>
        <w:spacing w:before="34"/>
        <w:ind w:left="885"/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2"/>
          <w:sz w:val="32"/>
          <w:szCs w:val="32"/>
        </w:rPr>
        <w:t xml:space="preserve">第十七条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会费收入开具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《公益事业捐赠统一票据》。</w:t>
      </w:r>
    </w:p>
    <w:p>
      <w:pPr>
        <w:pStyle w:val="2"/>
        <w:spacing w:line="268" w:lineRule="auto"/>
        <w:ind w:left="0" w:right="275" w:firstLine="813" w:firstLineChars="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2"/>
          <w:sz w:val="32"/>
          <w:szCs w:val="32"/>
        </w:rPr>
        <w:t xml:space="preserve">第十八条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本机构取得的其他财政票据，经办人员需核实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票据的真实性，财务人员需复核，依据《财政票据管理办法》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（中华人民共和国财政部令第 70 号）执行。</w:t>
      </w:r>
    </w:p>
    <w:p>
      <w:pPr>
        <w:pStyle w:val="2"/>
        <w:spacing w:before="34"/>
        <w:ind w:left="0" w:firstLine="647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第十九条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票据的领购、使用、作废、缴销需按相关法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律法规执行，不得随意丢弃未使用完的票据。</w:t>
      </w:r>
    </w:p>
    <w:p>
      <w:pPr>
        <w:pStyle w:val="2"/>
        <w:spacing w:before="34"/>
        <w:ind w:lef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spacing w:before="5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第五章 合同管理</w:t>
      </w:r>
      <w:r>
        <w:rPr>
          <w:rFonts w:hint="eastAsia" w:ascii="方正仿宋_GBK" w:hAnsi="方正仿宋_GBK" w:eastAsia="方正仿宋_GBK" w:cs="方正仿宋_GBK"/>
          <w:w w:val="99"/>
          <w:sz w:val="32"/>
          <w:szCs w:val="32"/>
        </w:rPr>
        <w:t xml:space="preserve"> </w:t>
      </w:r>
    </w:p>
    <w:p>
      <w:pPr>
        <w:pStyle w:val="2"/>
        <w:spacing w:before="33" w:line="268" w:lineRule="auto"/>
        <w:ind w:right="435" w:firstLine="668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第二十条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合同的订立、履行、变更、解除必须遵守合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同法律法规的相关规定。</w:t>
      </w:r>
    </w:p>
    <w:p>
      <w:pPr>
        <w:pStyle w:val="2"/>
        <w:spacing w:line="268" w:lineRule="auto"/>
        <w:ind w:right="435" w:firstLine="668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第二十一条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接受捐赠原则上应签订捐赠合同，捐赠人不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愿签订合同的，则不签订。但应尽量留存捐赠相关依据。</w:t>
      </w:r>
    </w:p>
    <w:p>
      <w:pPr>
        <w:pStyle w:val="2"/>
        <w:spacing w:line="268" w:lineRule="auto"/>
        <w:ind w:right="440" w:firstLine="668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第二十二条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合同印章应清晰、合同多页的，需加盖骑缝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章。骑缝章应包含所有页码，并加盖在所有页次的正面。</w:t>
      </w:r>
    </w:p>
    <w:p>
      <w:pPr>
        <w:spacing w:line="515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第二十三条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合同的订立需对方经办人签字、或机构法人</w:t>
      </w:r>
    </w:p>
    <w:p>
      <w:pPr>
        <w:pStyle w:val="2"/>
        <w:spacing w:before="7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章。合同签订日期应填写齐全。</w:t>
      </w:r>
    </w:p>
    <w:p>
      <w:pPr>
        <w:pStyle w:val="2"/>
        <w:spacing w:before="44" w:line="268" w:lineRule="auto"/>
        <w:ind w:right="436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第二十四条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合同为支付资金的，支付前应依据合同审查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是否达到支付条件。</w:t>
      </w:r>
    </w:p>
    <w:p>
      <w:pPr>
        <w:pStyle w:val="2"/>
        <w:spacing w:line="268" w:lineRule="auto"/>
        <w:ind w:right="439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第二十五条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合同为收到资金的，满足收款条件的，财务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或业务部门应及时催收。</w:t>
      </w:r>
    </w:p>
    <w:p>
      <w:pPr>
        <w:spacing w:line="580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第二十六条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签订合同时，一般一式两份。</w:t>
      </w:r>
    </w:p>
    <w:p>
      <w:pPr>
        <w:widowControl/>
        <w:autoSpaceDE/>
        <w:autoSpaceDN/>
        <w:spacing w:line="268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spacing w:before="30"/>
        <w:ind w:left="202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>第六章 应收款项及存货管理</w:t>
      </w:r>
      <w:r>
        <w:rPr>
          <w:rFonts w:hint="eastAsia" w:ascii="方正仿宋_GBK" w:hAnsi="方正仿宋_GBK" w:eastAsia="方正仿宋_GBK" w:cs="方正仿宋_GBK"/>
          <w:spacing w:val="12"/>
          <w:w w:val="99"/>
          <w:sz w:val="32"/>
          <w:szCs w:val="32"/>
        </w:rPr>
        <w:t xml:space="preserve"> </w:t>
      </w:r>
    </w:p>
    <w:p>
      <w:pPr>
        <w:spacing w:before="55" w:line="228" w:lineRule="auto"/>
        <w:ind w:left="885" w:right="27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第二十七条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财务核算应及时结清欠款，减少往来核算。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第二十八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机构无产品生产等，无存货。办公用品等低值</w:t>
      </w:r>
    </w:p>
    <w:p>
      <w:pPr>
        <w:pStyle w:val="2"/>
        <w:spacing w:before="8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易耗品一般直接费用化。</w:t>
      </w:r>
    </w:p>
    <w:p>
      <w:pPr>
        <w:pStyle w:val="11"/>
        <w:spacing w:before="11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第七章 收入管理</w:t>
      </w:r>
      <w:r>
        <w:rPr>
          <w:rFonts w:hint="eastAsia" w:ascii="方正仿宋_GBK" w:hAnsi="方正仿宋_GBK" w:eastAsia="方正仿宋_GBK" w:cs="方正仿宋_GBK"/>
          <w:w w:val="99"/>
          <w:sz w:val="32"/>
          <w:szCs w:val="32"/>
        </w:rPr>
        <w:t xml:space="preserve"> </w:t>
      </w:r>
    </w:p>
    <w:p>
      <w:pPr>
        <w:pStyle w:val="2"/>
        <w:spacing w:before="33" w:line="268" w:lineRule="auto"/>
        <w:ind w:right="435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第二十九条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机构收入包括：会费收入、社会各界的捐赠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收入、政府资助收入、银行利息、其他合法收入等。</w:t>
      </w:r>
    </w:p>
    <w:p>
      <w:pPr>
        <w:spacing w:before="13" w:line="228" w:lineRule="auto"/>
        <w:ind w:left="885" w:right="4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第三十条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项目收入涉及开票的，需注明项目名称。</w:t>
      </w: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第三十一条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收到的各种收入应及时入账。收入、支出分</w:t>
      </w:r>
    </w:p>
    <w:p>
      <w:pPr>
        <w:pStyle w:val="2"/>
        <w:spacing w:before="8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开核算，不得收支相抵后入账。</w:t>
      </w:r>
    </w:p>
    <w:p>
      <w:pPr>
        <w:widowControl/>
        <w:autoSpaceDE/>
        <w:autoSpaceDN/>
        <w:spacing w:line="268" w:lineRule="auto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第三十二条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取得收入由票据经办人开具收据或其他票据，作为入账依据，并及时交予会计入账。</w:t>
      </w:r>
    </w:p>
    <w:p>
      <w:pPr>
        <w:pStyle w:val="11"/>
        <w:spacing w:before="5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第八章 费用管理</w:t>
      </w:r>
    </w:p>
    <w:p>
      <w:pPr>
        <w:spacing w:line="515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第三十三条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经办人应按财务要求粘贴发票，分门别类记</w:t>
      </w:r>
    </w:p>
    <w:p>
      <w:pPr>
        <w:pStyle w:val="2"/>
        <w:spacing w:before="77" w:line="326" w:lineRule="auto"/>
        <w:ind w:right="39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录到费用报销单。经办人填写费用报销单时应字迹清晰，大小写金额一致，小写金额合计栏前加“¥”符号。</w:t>
      </w:r>
    </w:p>
    <w:p>
      <w:pPr>
        <w:spacing w:line="480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第三十四条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以现金形式发放给个人的款项，需要本单位</w:t>
      </w:r>
    </w:p>
    <w:p>
      <w:pPr>
        <w:pStyle w:val="2"/>
        <w:spacing w:before="7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员工作为经办人，不得直接支付外单位人员。         </w:t>
      </w:r>
    </w:p>
    <w:p>
      <w:pPr>
        <w:pStyle w:val="11"/>
        <w:spacing w:line="434" w:lineRule="exact"/>
        <w:ind w:left="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第九章 项目管理</w:t>
      </w:r>
    </w:p>
    <w:p>
      <w:pPr>
        <w:spacing w:before="33" w:line="268" w:lineRule="auto"/>
        <w:ind w:left="216" w:right="435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第三十五条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项目管理应签订合同，严格在合同范围内使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用资金。</w:t>
      </w:r>
    </w:p>
    <w:p>
      <w:pPr>
        <w:pStyle w:val="2"/>
        <w:spacing w:line="268" w:lineRule="auto"/>
        <w:ind w:right="439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第三十六条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项目相关的支出，需填制相关单据，反映内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部审核流程。</w:t>
      </w:r>
    </w:p>
    <w:p>
      <w:pPr>
        <w:pStyle w:val="2"/>
        <w:spacing w:line="268" w:lineRule="auto"/>
        <w:ind w:right="436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第三十七条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凡项目发生的费用，原始单据上需注明项目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名称，以及项目子项费用名称。</w:t>
      </w:r>
    </w:p>
    <w:p>
      <w:pPr>
        <w:pStyle w:val="11"/>
        <w:spacing w:before="21"/>
        <w:ind w:left="256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第十章 固定资产管理</w:t>
      </w:r>
      <w:r>
        <w:rPr>
          <w:rFonts w:hint="eastAsia" w:ascii="方正仿宋_GBK" w:hAnsi="方正仿宋_GBK" w:eastAsia="方正仿宋_GBK" w:cs="方正仿宋_GBK"/>
          <w:w w:val="99"/>
          <w:sz w:val="32"/>
          <w:szCs w:val="32"/>
        </w:rPr>
        <w:t xml:space="preserve"> </w:t>
      </w:r>
    </w:p>
    <w:p>
      <w:pPr>
        <w:pStyle w:val="2"/>
        <w:spacing w:before="33" w:line="268" w:lineRule="auto"/>
        <w:ind w:right="116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3"/>
          <w:sz w:val="32"/>
          <w:szCs w:val="32"/>
        </w:rPr>
        <w:t xml:space="preserve">第三十八条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为生产商品、提供劳务、出租或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"http://baike.esnai.com/view.aspx?w=%E8%90%A5"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经营管理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而持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有的，使用寿命超过一个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"http://baike.esnai.com/view.aspx?w"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会计年度</w:t>
      </w:r>
      <w:r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fldChar w:fldCharType="end"/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的资产确认为固定资产。</w:t>
      </w:r>
    </w:p>
    <w:p>
      <w:pPr>
        <w:pStyle w:val="2"/>
        <w:spacing w:before="9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固定资产入账参考单价为 500 元。</w:t>
      </w:r>
    </w:p>
    <w:p>
      <w:pPr>
        <w:pStyle w:val="2"/>
        <w:spacing w:before="44" w:line="268" w:lineRule="auto"/>
        <w:ind w:right="436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第三十九条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固定资产分为房屋、建筑物、机器设备、运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输设备、办公设备五类。</w:t>
      </w:r>
    </w:p>
    <w:p>
      <w:pPr>
        <w:pStyle w:val="2"/>
        <w:spacing w:line="268" w:lineRule="auto"/>
        <w:ind w:right="436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第四十条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固定资产的折旧方法采用年限平均法，按月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计提折旧。当月增加的固定资产当月不提折旧，下月开始计</w:t>
      </w:r>
    </w:p>
    <w:p>
      <w:pPr>
        <w:pStyle w:val="2"/>
        <w:spacing w:before="32" w:line="326" w:lineRule="auto"/>
        <w:ind w:right="43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 xml:space="preserve">提。当月减少的折旧，当月仍计提折旧。折旧年限一经确定，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 xml:space="preserve">不得随意更改。净残值率为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5%。</w:t>
      </w:r>
    </w:p>
    <w:p>
      <w:pPr>
        <w:pStyle w:val="2"/>
        <w:spacing w:after="22" w:line="407" w:lineRule="exact"/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固定资产分类折旧年限表：</w:t>
      </w:r>
    </w:p>
    <w:tbl>
      <w:tblPr>
        <w:tblStyle w:val="13"/>
        <w:tblW w:w="0" w:type="auto"/>
        <w:tblInd w:w="48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2693"/>
        <w:gridCol w:w="1984"/>
        <w:gridCol w:w="1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9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DFDFDF"/>
          </w:tcPr>
          <w:p>
            <w:pPr>
              <w:pStyle w:val="12"/>
              <w:spacing w:before="131" w:line="331" w:lineRule="exact"/>
              <w:ind w:right="303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序号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FDFDF"/>
          </w:tcPr>
          <w:p>
            <w:pPr>
              <w:pStyle w:val="12"/>
              <w:spacing w:before="131" w:line="331" w:lineRule="exact"/>
              <w:ind w:right="683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类别</w:t>
            </w:r>
          </w:p>
        </w:tc>
        <w:tc>
          <w:tcPr>
            <w:tcW w:w="198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FDFDF"/>
          </w:tcPr>
          <w:p>
            <w:pPr>
              <w:pStyle w:val="12"/>
              <w:spacing w:before="131" w:line="331" w:lineRule="exact"/>
              <w:ind w:left="36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折旧年限</w:t>
            </w:r>
          </w:p>
        </w:tc>
        <w:tc>
          <w:tcPr>
            <w:tcW w:w="184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FDFDF"/>
          </w:tcPr>
          <w:p>
            <w:pPr>
              <w:pStyle w:val="12"/>
              <w:spacing w:before="131" w:line="331" w:lineRule="exact"/>
              <w:ind w:left="268" w:right="233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净残值率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9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right="358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756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房屋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737" w:right="871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2"/>
              <w:ind w:left="245" w:right="233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9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30" w:line="346" w:lineRule="exact"/>
              <w:ind w:right="358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30" w:line="346" w:lineRule="exact"/>
              <w:ind w:left="756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建筑物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30" w:line="346" w:lineRule="exact"/>
              <w:ind w:left="737" w:right="871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2"/>
              <w:spacing w:before="130" w:line="346" w:lineRule="exact"/>
              <w:ind w:left="245" w:right="233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9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right="358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right="639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机器设备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737" w:right="871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2"/>
              <w:ind w:left="245" w:right="233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9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30"/>
              <w:ind w:right="358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30"/>
              <w:ind w:right="639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运输设备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30"/>
              <w:ind w:right="294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2"/>
              <w:spacing w:before="130"/>
              <w:ind w:left="245" w:right="233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9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12"/>
              <w:ind w:right="358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12"/>
              <w:ind w:right="639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办公设备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12"/>
              <w:ind w:right="294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12"/>
              <w:ind w:left="245" w:right="233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en-US"/>
              </w:rPr>
              <w:t>5%</w:t>
            </w:r>
          </w:p>
        </w:tc>
      </w:tr>
    </w:tbl>
    <w:p>
      <w:pPr>
        <w:pStyle w:val="2"/>
        <w:spacing w:before="4" w:line="560" w:lineRule="exact"/>
        <w:ind w:right="283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第四十一条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至少每年末对固定资产盘点一次，对盘盈、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盘亏、报废必须严格审查，办理批准手续后更新固定资产资产台账。</w:t>
      </w:r>
    </w:p>
    <w:p>
      <w:pPr>
        <w:pStyle w:val="2"/>
        <w:spacing w:line="560" w:lineRule="exact"/>
        <w:ind w:right="435" w:firstLine="668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第四十二条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固定资产达到使用年限并严重损坏无法使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用的，可做报废处理，但须经管理部门负责人及财务负责人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审核、单位负责人审批后才可报废，并附处置照片，严禁随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意处置。</w:t>
      </w:r>
    </w:p>
    <w:p>
      <w:pPr>
        <w:pStyle w:val="11"/>
        <w:spacing w:before="89"/>
        <w:ind w:left="27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第十一章 财务报告</w:t>
      </w:r>
      <w:r>
        <w:rPr>
          <w:rFonts w:hint="eastAsia" w:ascii="方正仿宋_GBK" w:hAnsi="方正仿宋_GBK" w:eastAsia="方正仿宋_GBK" w:cs="方正仿宋_GBK"/>
          <w:w w:val="99"/>
          <w:sz w:val="32"/>
          <w:szCs w:val="32"/>
        </w:rPr>
        <w:t xml:space="preserve"> </w:t>
      </w:r>
    </w:p>
    <w:p>
      <w:pPr>
        <w:pStyle w:val="2"/>
        <w:spacing w:before="33" w:line="268" w:lineRule="auto"/>
        <w:ind w:right="432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第四十三条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财务会计报告是反映民间非营利组织财务状况、业务活动情况和现金流量等的书面文件。</w:t>
      </w:r>
    </w:p>
    <w:p>
      <w:pPr>
        <w:spacing w:line="580" w:lineRule="exact"/>
        <w:ind w:left="216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第四十四条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财务会计报告由会计报表、会计报表附注和</w:t>
      </w:r>
    </w:p>
    <w:p>
      <w:pPr>
        <w:pStyle w:val="2"/>
        <w:spacing w:before="77" w:line="326" w:lineRule="auto"/>
        <w:ind w:right="43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财务情况说明书组成。本单位严格执行《民间非营利组织会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计制度》，编制年度资产负债表、业务活动表、现金流量表。</w:t>
      </w:r>
    </w:p>
    <w:p>
      <w:pPr>
        <w:spacing w:line="479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第四十五条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本机构每年度终了后，聘请会计师事务所对</w:t>
      </w:r>
    </w:p>
    <w:p>
      <w:pPr>
        <w:pStyle w:val="2"/>
        <w:spacing w:before="7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本机构财务报表进行年度审计。</w:t>
      </w:r>
    </w:p>
    <w:p>
      <w:pPr>
        <w:widowControl/>
        <w:autoSpaceDE/>
        <w:autoSpaceDN/>
        <w:spacing w:line="268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pStyle w:val="11"/>
        <w:spacing w:line="418" w:lineRule="exact"/>
        <w:ind w:left="23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第十二章 会计档案管理</w:t>
      </w:r>
      <w:r>
        <w:rPr>
          <w:rFonts w:hint="eastAsia" w:ascii="方正仿宋_GBK" w:hAnsi="方正仿宋_GBK" w:eastAsia="方正仿宋_GBK" w:cs="方正仿宋_GBK"/>
          <w:w w:val="99"/>
          <w:sz w:val="32"/>
          <w:szCs w:val="32"/>
        </w:rPr>
        <w:t xml:space="preserve"> </w:t>
      </w:r>
    </w:p>
    <w:p>
      <w:pPr>
        <w:pStyle w:val="2"/>
        <w:spacing w:before="11" w:line="560" w:lineRule="exact"/>
        <w:ind w:right="277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第四十六条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会计档案，包括但不限于项目协议及变更协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议、原始票据、记账凭证、日记账、会计账簿、财务报表、电子账套（及密码</w:t>
      </w:r>
      <w:r>
        <w:rPr>
          <w:rFonts w:hint="eastAsia" w:ascii="方正仿宋_GBK" w:hAnsi="方正仿宋_GBK" w:eastAsia="方正仿宋_GBK" w:cs="方正仿宋_GBK"/>
          <w:spacing w:val="-16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、审计报告等。</w:t>
      </w:r>
    </w:p>
    <w:p>
      <w:pPr>
        <w:spacing w:before="23"/>
        <w:ind w:left="216" w:firstLine="66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第四十七条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会计档案管理严格《会计档案管理办法》执</w:t>
      </w:r>
    </w:p>
    <w:p>
      <w:pPr>
        <w:pStyle w:val="2"/>
        <w:spacing w:before="78" w:line="326" w:lineRule="auto"/>
        <w:ind w:right="43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行（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 xml:space="preserve">中华人民共和国财政部 国家档案局令第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79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 xml:space="preserve"> 号</w:t>
      </w:r>
      <w:r>
        <w:rPr>
          <w:rFonts w:hint="eastAsia" w:ascii="方正仿宋_GBK" w:hAnsi="方正仿宋_GBK" w:eastAsia="方正仿宋_GBK" w:cs="方正仿宋_GBK"/>
          <w:spacing w:val="-16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，后续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法律法规变更的，作相应调整。</w:t>
      </w:r>
    </w:p>
    <w:p>
      <w:pPr>
        <w:spacing w:line="465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第四十八条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机构年度审计报告，应存档三份。</w:t>
      </w:r>
    </w:p>
    <w:p>
      <w:pPr>
        <w:spacing w:line="574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第四十九条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重大财务信息的披露由经办人员按规定报</w:t>
      </w:r>
    </w:p>
    <w:p>
      <w:pPr>
        <w:pStyle w:val="2"/>
        <w:spacing w:before="77" w:line="326" w:lineRule="auto"/>
        <w:ind w:right="39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请批准后对外披露。财务档案未经单位负责人许可，不得查阅。</w:t>
      </w:r>
    </w:p>
    <w:p>
      <w:pPr>
        <w:pStyle w:val="11"/>
        <w:spacing w:line="418" w:lineRule="exact"/>
        <w:ind w:left="3271" w:right="3308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第十三章 附则</w:t>
      </w:r>
      <w:r>
        <w:rPr>
          <w:rFonts w:hint="eastAsia" w:ascii="方正仿宋_GBK" w:hAnsi="方正仿宋_GBK" w:eastAsia="方正仿宋_GBK" w:cs="方正仿宋_GBK"/>
          <w:w w:val="99"/>
          <w:sz w:val="32"/>
          <w:szCs w:val="32"/>
        </w:rPr>
        <w:t xml:space="preserve"> </w:t>
      </w:r>
    </w:p>
    <w:p>
      <w:pPr>
        <w:spacing w:before="33" w:line="575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第五十条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本制度由财务部制定和解释。</w:t>
      </w:r>
    </w:p>
    <w:p>
      <w:pPr>
        <w:pStyle w:val="2"/>
        <w:spacing w:line="575" w:lineRule="exact"/>
        <w:ind w:left="8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1"/>
          <w:sz w:val="32"/>
          <w:szCs w:val="32"/>
        </w:rPr>
        <w:t xml:space="preserve">第五十一条 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 xml:space="preserve">本制度自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220</w:t>
      </w:r>
      <w:r>
        <w:rPr>
          <w:rFonts w:hint="eastAsia" w:ascii="方正仿宋_GBK" w:hAnsi="方正仿宋_GBK" w:eastAsia="方正仿宋_GBK" w:cs="方正仿宋_GBK"/>
          <w:spacing w:val="-51"/>
          <w:sz w:val="32"/>
          <w:szCs w:val="32"/>
        </w:rPr>
        <w:t xml:space="preserve"> 年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51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 xml:space="preserve"> 日起，经常务副会</w:t>
      </w:r>
    </w:p>
    <w:p>
      <w:pPr>
        <w:pStyle w:val="2"/>
        <w:spacing w:before="7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长审议通过后施行。</w:t>
      </w:r>
    </w:p>
    <w:p>
      <w:pPr>
        <w:pStyle w:val="2"/>
        <w:spacing w:before="32" w:line="326" w:lineRule="auto"/>
        <w:ind w:right="436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before="32" w:line="326" w:lineRule="auto"/>
        <w:ind w:right="436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before="130"/>
        <w:ind w:left="4530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10" w:h="16840"/>
          <w:pgMar w:top="1580" w:right="1360" w:bottom="280" w:left="1580" w:header="720" w:footer="72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重庆市铜梁群团公益基金</w:t>
      </w:r>
      <w:bookmarkStart w:id="8" w:name="_GoBack"/>
      <w:bookmarkEnd w:id="8"/>
      <w:bookmarkStart w:id="2" w:name="_bookmark6"/>
      <w:bookmarkEnd w:id="2"/>
      <w:bookmarkStart w:id="3" w:name="_bookmark5"/>
      <w:bookmarkEnd w:id="3"/>
      <w:bookmarkStart w:id="4" w:name="_bookmark7"/>
      <w:bookmarkEnd w:id="4"/>
      <w:bookmarkStart w:id="5" w:name="_bookmark11"/>
      <w:bookmarkEnd w:id="5"/>
    </w:p>
    <w:p>
      <w:bookmarkStart w:id="6" w:name="_bookmark2"/>
      <w:bookmarkEnd w:id="6"/>
      <w:bookmarkStart w:id="7" w:name="_bookmark3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A1E"/>
    <w:rsid w:val="00307917"/>
    <w:rsid w:val="003E4415"/>
    <w:rsid w:val="006A5A24"/>
    <w:rsid w:val="00781A1E"/>
    <w:rsid w:val="009E0809"/>
    <w:rsid w:val="00DD0B6B"/>
    <w:rsid w:val="00EF43AF"/>
    <w:rsid w:val="00F51922"/>
    <w:rsid w:val="3D9A00D8"/>
    <w:rsid w:val="6E7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1"/>
    <w:pPr>
      <w:ind w:left="216"/>
    </w:pPr>
    <w:rPr>
      <w:sz w:val="32"/>
      <w:szCs w:val="32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正文文本 Char"/>
    <w:basedOn w:val="7"/>
    <w:link w:val="2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0">
    <w:name w:val="TOC 1"/>
    <w:basedOn w:val="1"/>
    <w:qFormat/>
    <w:uiPriority w:val="1"/>
    <w:pPr>
      <w:spacing w:before="314"/>
      <w:ind w:left="216"/>
    </w:pPr>
    <w:rPr>
      <w:sz w:val="32"/>
      <w:szCs w:val="32"/>
    </w:rPr>
  </w:style>
  <w:style w:type="paragraph" w:customStyle="1" w:styleId="11">
    <w:name w:val="Heading 1"/>
    <w:basedOn w:val="1"/>
    <w:qFormat/>
    <w:uiPriority w:val="1"/>
    <w:pPr>
      <w:ind w:left="2925"/>
      <w:outlineLvl w:val="1"/>
    </w:pPr>
    <w:rPr>
      <w:b/>
      <w:bCs/>
      <w:sz w:val="36"/>
      <w:szCs w:val="36"/>
    </w:rPr>
  </w:style>
  <w:style w:type="paragraph" w:customStyle="1" w:styleId="12">
    <w:name w:val="Table Paragraph"/>
    <w:basedOn w:val="1"/>
    <w:qFormat/>
    <w:uiPriority w:val="1"/>
    <w:pPr>
      <w:spacing w:before="126" w:line="347" w:lineRule="exact"/>
      <w:jc w:val="center"/>
    </w:pPr>
  </w:style>
  <w:style w:type="table" w:customStyle="1" w:styleId="13">
    <w:name w:val="Table Normal"/>
    <w:semiHidden/>
    <w:qFormat/>
    <w:uiPriority w:val="2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批注框文本 Char"/>
    <w:basedOn w:val="7"/>
    <w:link w:val="3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5">
    <w:name w:val="页眉 Char"/>
    <w:basedOn w:val="7"/>
    <w:link w:val="5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6">
    <w:name w:val="页脚 Char"/>
    <w:basedOn w:val="7"/>
    <w:link w:val="4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424</Words>
  <Characters>2422</Characters>
  <Lines>20</Lines>
  <Paragraphs>5</Paragraphs>
  <TotalTime>2</TotalTime>
  <ScaleCrop>false</ScaleCrop>
  <LinksUpToDate>false</LinksUpToDate>
  <CharactersWithSpaces>2841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2021-09-15T02:05:00Z</dcterms:created>
  <dc:creator>Sky123.Org</dc:creator>
  <cp:lastModifiedBy>Administrator</cp:lastModifiedBy>
  <dcterms:modified xsi:type="dcterms:W3CDTF">2021-09-17T02:35:47Z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75D42110ACA04A5BA29314899C98FD60</vt:lpwstr>
  </property>
</Properties>
</file>