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rPr>
          <w:rFonts w:hint="eastAsia" w:ascii="方正黑体简体" w:hAnsi="方正黑体简体" w:eastAsia="方正黑体简体" w:cs="方正黑体简体"/>
          <w:color w:val="auto"/>
          <w:kern w:val="0"/>
          <w:sz w:val="32"/>
          <w:szCs w:val="32"/>
          <w:lang w:val="en-US" w:eastAsia="zh-CN" w:bidi="ar"/>
        </w:rPr>
      </w:pPr>
      <w:r>
        <w:rPr>
          <w:rFonts w:hint="eastAsia" w:ascii="方正黑体简体" w:hAnsi="方正黑体简体" w:eastAsia="方正黑体简体" w:cs="方正黑体简体"/>
          <w:color w:val="auto"/>
          <w:kern w:val="0"/>
          <w:sz w:val="32"/>
          <w:szCs w:val="32"/>
          <w:lang w:val="en-US" w:eastAsia="zh-CN" w:bidi="ar"/>
        </w:rPr>
        <w:t>附件1</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jc w:val="center"/>
        <w:textAlignment w:val="auto"/>
        <w:rPr>
          <w:rFonts w:hint="default" w:ascii="方正黑体简体" w:hAnsi="方正黑体简体" w:eastAsia="方正黑体简体" w:cs="方正黑体简体"/>
          <w:color w:val="auto"/>
          <w:kern w:val="0"/>
          <w:sz w:val="32"/>
          <w:szCs w:val="32"/>
          <w:lang w:val="en-US" w:eastAsia="zh-CN" w:bidi="ar"/>
        </w:rPr>
      </w:pPr>
      <w:r>
        <w:rPr>
          <w:rFonts w:hint="eastAsia" w:ascii="方正黑体简体" w:hAnsi="方正黑体简体" w:eastAsia="方正黑体简体" w:cs="方正黑体简体"/>
          <w:color w:val="auto"/>
          <w:kern w:val="0"/>
          <w:sz w:val="32"/>
          <w:szCs w:val="32"/>
          <w:lang w:val="en-US" w:eastAsia="zh-CN" w:bidi="ar"/>
        </w:rPr>
        <w:t>长春市敬老助浴项目服务机构评审标准</w:t>
      </w:r>
    </w:p>
    <w:p>
      <w:pPr>
        <w:pStyle w:val="5"/>
        <w:numPr>
          <w:ilvl w:val="0"/>
          <w:numId w:val="0"/>
        </w:numPr>
        <w:ind w:firstLine="480" w:firstLineChars="200"/>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申请机构：                                                              评审时间：</w:t>
      </w:r>
    </w:p>
    <w:tbl>
      <w:tblPr>
        <w:tblStyle w:val="3"/>
        <w:tblW w:w="14379"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74"/>
        <w:gridCol w:w="1350"/>
        <w:gridCol w:w="7783"/>
        <w:gridCol w:w="146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序号</w:t>
            </w:r>
          </w:p>
        </w:tc>
        <w:tc>
          <w:tcPr>
            <w:tcW w:w="1574"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评审内容</w:t>
            </w:r>
          </w:p>
        </w:tc>
        <w:tc>
          <w:tcPr>
            <w:tcW w:w="1350"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指标类型</w:t>
            </w:r>
          </w:p>
        </w:tc>
        <w:tc>
          <w:tcPr>
            <w:tcW w:w="7783"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评审标准</w:t>
            </w:r>
          </w:p>
        </w:tc>
        <w:tc>
          <w:tcPr>
            <w:tcW w:w="1467"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评审情况</w:t>
            </w:r>
          </w:p>
        </w:tc>
        <w:tc>
          <w:tcPr>
            <w:tcW w:w="1500"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705"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1</w:t>
            </w:r>
          </w:p>
        </w:tc>
        <w:tc>
          <w:tcPr>
            <w:tcW w:w="1574"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机构类型及服务资质</w:t>
            </w:r>
          </w:p>
        </w:tc>
        <w:tc>
          <w:tcPr>
            <w:tcW w:w="1350"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基本条件</w:t>
            </w:r>
          </w:p>
        </w:tc>
        <w:tc>
          <w:tcPr>
            <w:tcW w:w="7783"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申请机构需为以下二种类型之一：</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1.养老机构，</w:t>
            </w:r>
            <w:r>
              <w:rPr>
                <w:rFonts w:hint="default" w:ascii="方正仿宋简体" w:hAnsi="方正仿宋简体" w:eastAsia="方正仿宋简体" w:cs="方正仿宋简体"/>
                <w:color w:val="auto"/>
                <w:kern w:val="0"/>
                <w:sz w:val="24"/>
                <w:szCs w:val="24"/>
                <w:vertAlign w:val="baseline"/>
                <w:lang w:val="en-US" w:eastAsia="zh-CN" w:bidi="ar"/>
              </w:rPr>
              <w:t>具备民政部门颁发备案</w:t>
            </w:r>
            <w:r>
              <w:rPr>
                <w:rFonts w:hint="eastAsia" w:ascii="方正仿宋简体" w:hAnsi="方正仿宋简体" w:eastAsia="方正仿宋简体" w:cs="方正仿宋简体"/>
                <w:color w:val="auto"/>
                <w:kern w:val="0"/>
                <w:sz w:val="24"/>
                <w:szCs w:val="24"/>
                <w:vertAlign w:val="baseline"/>
                <w:lang w:val="en-US" w:eastAsia="zh-CN" w:bidi="ar"/>
              </w:rPr>
              <w:t>书或《养老设立许可证》；</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highlight w:val="none"/>
                <w:vertAlign w:val="baseline"/>
                <w:lang w:val="en-US" w:eastAsia="zh-CN" w:bidi="ar"/>
              </w:rPr>
              <w:t>2.其他机构，</w:t>
            </w:r>
            <w:r>
              <w:rPr>
                <w:rFonts w:hint="default" w:ascii="方正仿宋简体" w:hAnsi="方正仿宋简体" w:eastAsia="方正仿宋简体" w:cs="方正仿宋简体"/>
                <w:color w:val="auto"/>
                <w:kern w:val="0"/>
                <w:sz w:val="24"/>
                <w:szCs w:val="24"/>
                <w:vertAlign w:val="baseline"/>
                <w:lang w:val="en-US" w:eastAsia="zh-CN" w:bidi="ar"/>
              </w:rPr>
              <w:t>业务范围</w:t>
            </w:r>
            <w:r>
              <w:rPr>
                <w:rFonts w:hint="eastAsia" w:ascii="方正仿宋简体" w:hAnsi="方正仿宋简体" w:eastAsia="方正仿宋简体" w:cs="方正仿宋简体"/>
                <w:color w:val="auto"/>
                <w:kern w:val="0"/>
                <w:sz w:val="24"/>
                <w:szCs w:val="24"/>
                <w:vertAlign w:val="baseline"/>
                <w:lang w:val="en-US" w:eastAsia="zh-CN" w:bidi="ar"/>
              </w:rPr>
              <w:t>应</w:t>
            </w:r>
            <w:r>
              <w:rPr>
                <w:rFonts w:hint="default" w:ascii="方正仿宋简体" w:hAnsi="方正仿宋简体" w:eastAsia="方正仿宋简体" w:cs="方正仿宋简体"/>
                <w:color w:val="auto"/>
                <w:kern w:val="0"/>
                <w:sz w:val="24"/>
                <w:szCs w:val="24"/>
                <w:vertAlign w:val="baseline"/>
                <w:lang w:val="en-US" w:eastAsia="zh-CN" w:bidi="ar"/>
              </w:rPr>
              <w:t>包含养老服务</w:t>
            </w:r>
            <w:r>
              <w:rPr>
                <w:rFonts w:hint="eastAsia" w:ascii="方正仿宋简体" w:hAnsi="方正仿宋简体" w:eastAsia="方正仿宋简体" w:cs="方正仿宋简体"/>
                <w:color w:val="auto"/>
                <w:kern w:val="0"/>
                <w:sz w:val="24"/>
                <w:szCs w:val="24"/>
                <w:vertAlign w:val="baseline"/>
                <w:lang w:val="en-US" w:eastAsia="zh-CN" w:bidi="ar"/>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default" w:ascii="方正仿宋简体" w:hAnsi="方正仿宋简体" w:eastAsia="方正仿宋简体" w:cs="方正仿宋简体"/>
                <w:color w:val="auto"/>
                <w:kern w:val="0"/>
                <w:sz w:val="32"/>
                <w:szCs w:val="32"/>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以上机构，事业单位应</w:t>
            </w:r>
            <w:r>
              <w:rPr>
                <w:rFonts w:hint="default" w:ascii="方正仿宋简体" w:hAnsi="方正仿宋简体" w:eastAsia="方正仿宋简体" w:cs="方正仿宋简体"/>
                <w:color w:val="auto"/>
                <w:kern w:val="0"/>
                <w:sz w:val="24"/>
                <w:szCs w:val="24"/>
                <w:vertAlign w:val="baseline"/>
                <w:lang w:val="en-US" w:eastAsia="zh-CN" w:bidi="ar"/>
              </w:rPr>
              <w:t>具</w:t>
            </w:r>
            <w:r>
              <w:rPr>
                <w:rFonts w:hint="eastAsia" w:ascii="方正仿宋简体" w:hAnsi="方正仿宋简体" w:eastAsia="方正仿宋简体" w:cs="方正仿宋简体"/>
                <w:color w:val="auto"/>
                <w:kern w:val="0"/>
                <w:sz w:val="24"/>
                <w:szCs w:val="24"/>
                <w:vertAlign w:val="baseline"/>
                <w:lang w:val="en-US" w:eastAsia="zh-CN" w:bidi="ar"/>
              </w:rPr>
              <w:t>有</w:t>
            </w:r>
            <w:r>
              <w:rPr>
                <w:rFonts w:hint="default" w:ascii="方正仿宋简体" w:hAnsi="方正仿宋简体" w:eastAsia="方正仿宋简体" w:cs="方正仿宋简体"/>
                <w:color w:val="auto"/>
                <w:kern w:val="0"/>
                <w:sz w:val="24"/>
                <w:szCs w:val="24"/>
                <w:vertAlign w:val="baseline"/>
                <w:lang w:val="en-US" w:eastAsia="zh-CN" w:bidi="ar"/>
              </w:rPr>
              <w:t>《事业单位法人证书》</w:t>
            </w:r>
            <w:r>
              <w:rPr>
                <w:rFonts w:hint="eastAsia" w:ascii="方正仿宋简体" w:hAnsi="方正仿宋简体" w:eastAsia="方正仿宋简体" w:cs="方正仿宋简体"/>
                <w:color w:val="auto"/>
                <w:kern w:val="0"/>
                <w:sz w:val="24"/>
                <w:szCs w:val="24"/>
                <w:vertAlign w:val="baseline"/>
                <w:lang w:val="en-US" w:eastAsia="zh-CN" w:bidi="ar"/>
              </w:rPr>
              <w:t>，民办非企业应具有</w:t>
            </w:r>
            <w:r>
              <w:rPr>
                <w:rFonts w:hint="default" w:ascii="方正仿宋简体" w:hAnsi="方正仿宋简体" w:eastAsia="方正仿宋简体" w:cs="方正仿宋简体"/>
                <w:color w:val="auto"/>
                <w:kern w:val="0"/>
                <w:sz w:val="24"/>
                <w:szCs w:val="24"/>
                <w:vertAlign w:val="baseline"/>
                <w:lang w:val="en-US" w:eastAsia="zh-CN" w:bidi="ar"/>
              </w:rPr>
              <w:t>《民办非企业法人登记证书》</w:t>
            </w:r>
            <w:r>
              <w:rPr>
                <w:rFonts w:hint="eastAsia" w:ascii="方正仿宋简体" w:hAnsi="方正仿宋简体" w:eastAsia="方正仿宋简体" w:cs="方正仿宋简体"/>
                <w:color w:val="auto"/>
                <w:kern w:val="0"/>
                <w:sz w:val="24"/>
                <w:szCs w:val="24"/>
                <w:vertAlign w:val="baseline"/>
                <w:lang w:val="en-US" w:eastAsia="zh-CN" w:bidi="ar"/>
              </w:rPr>
              <w:t>，公司应具有</w:t>
            </w:r>
            <w:r>
              <w:rPr>
                <w:rFonts w:hint="default" w:ascii="方正仿宋简体" w:hAnsi="方正仿宋简体" w:eastAsia="方正仿宋简体" w:cs="方正仿宋简体"/>
                <w:color w:val="auto"/>
                <w:kern w:val="0"/>
                <w:sz w:val="24"/>
                <w:szCs w:val="24"/>
                <w:vertAlign w:val="baseline"/>
                <w:lang w:val="en-US" w:eastAsia="zh-CN" w:bidi="ar"/>
              </w:rPr>
              <w:t>《营业执照》。</w:t>
            </w:r>
          </w:p>
        </w:tc>
        <w:tc>
          <w:tcPr>
            <w:tcW w:w="1467"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sym w:font="Wingdings" w:char="00A8"/>
            </w:r>
            <w:r>
              <w:rPr>
                <w:rFonts w:hint="eastAsia" w:ascii="方正仿宋简体" w:hAnsi="方正仿宋简体" w:eastAsia="方正仿宋简体" w:cs="方正仿宋简体"/>
                <w:color w:val="auto"/>
                <w:kern w:val="0"/>
                <w:sz w:val="24"/>
                <w:szCs w:val="24"/>
                <w:vertAlign w:val="baseline"/>
                <w:lang w:val="en-US" w:eastAsia="zh-CN" w:bidi="ar"/>
              </w:rPr>
              <w:t>符合</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sym w:font="Wingdings" w:char="00A8"/>
            </w:r>
            <w:r>
              <w:rPr>
                <w:rFonts w:hint="eastAsia" w:ascii="方正仿宋简体" w:hAnsi="方正仿宋简体" w:eastAsia="方正仿宋简体" w:cs="方正仿宋简体"/>
                <w:color w:val="auto"/>
                <w:kern w:val="0"/>
                <w:sz w:val="24"/>
                <w:szCs w:val="24"/>
                <w:vertAlign w:val="baseline"/>
                <w:lang w:val="en-US" w:eastAsia="zh-CN" w:bidi="ar"/>
              </w:rPr>
              <w:t>不符合</w:t>
            </w:r>
          </w:p>
        </w:tc>
        <w:tc>
          <w:tcPr>
            <w:tcW w:w="1500" w:type="dxa"/>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705"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2</w:t>
            </w:r>
          </w:p>
        </w:tc>
        <w:tc>
          <w:tcPr>
            <w:tcW w:w="1574"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机构基础服务能力</w:t>
            </w:r>
          </w:p>
        </w:tc>
        <w:tc>
          <w:tcPr>
            <w:tcW w:w="1350"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基本条件</w:t>
            </w:r>
          </w:p>
        </w:tc>
        <w:tc>
          <w:tcPr>
            <w:tcW w:w="7783" w:type="dxa"/>
            <w:shd w:val="clear" w:color="auto" w:fill="auto"/>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申请机构需具备以下基础服务能力：</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1.至少具备1名专兼职医护人员（持有医护执业证书）；</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2.至少具备5名专职护理员；</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3.至少具备2名专职管理人员；</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4.为服务人员入户服务,配备统一服装、服务包(箱)、工作证；</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5.至少具有1个拼接式便携浴缸；配备相关合格的一次性医用卫生材料和消毒灭菌制剂等耗材。配备医疗、护理垃圾处理设备，有规范处理使用后的护理耗材用品和防护用品工作流程，具备必要的医疗护理用具及消毒、灭菌设备；</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6.在长春市范围内有固定的经营场所。</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7.应配备适合老年人使用的助浴设施和设备，如助浴车、分体浴缸、助浴椅、防滑设施等。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8.应配备医疗护理垃圾处理、消毒灭菌等设备，提供一次性医用卫生材料、消毒灭菌制剂等耗材。</w:t>
            </w:r>
          </w:p>
        </w:tc>
        <w:tc>
          <w:tcPr>
            <w:tcW w:w="1467"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sym w:font="Wingdings" w:char="00A8"/>
            </w:r>
            <w:r>
              <w:rPr>
                <w:rFonts w:hint="eastAsia" w:ascii="方正仿宋简体" w:hAnsi="方正仿宋简体" w:eastAsia="方正仿宋简体" w:cs="方正仿宋简体"/>
                <w:color w:val="auto"/>
                <w:kern w:val="0"/>
                <w:sz w:val="24"/>
                <w:szCs w:val="24"/>
                <w:vertAlign w:val="baseline"/>
                <w:lang w:val="en-US" w:eastAsia="zh-CN" w:bidi="ar"/>
              </w:rPr>
              <w:t>符合</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sym w:font="Wingdings" w:char="00A8"/>
            </w:r>
            <w:r>
              <w:rPr>
                <w:rFonts w:hint="eastAsia" w:ascii="方正仿宋简体" w:hAnsi="方正仿宋简体" w:eastAsia="方正仿宋简体" w:cs="方正仿宋简体"/>
                <w:color w:val="auto"/>
                <w:kern w:val="0"/>
                <w:sz w:val="24"/>
                <w:szCs w:val="24"/>
                <w:vertAlign w:val="baseline"/>
                <w:lang w:val="en-US" w:eastAsia="zh-CN" w:bidi="ar"/>
              </w:rPr>
              <w:t>不符合</w:t>
            </w:r>
          </w:p>
        </w:tc>
        <w:tc>
          <w:tcPr>
            <w:tcW w:w="1500" w:type="dxa"/>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05"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3</w:t>
            </w:r>
          </w:p>
        </w:tc>
        <w:tc>
          <w:tcPr>
            <w:tcW w:w="1574"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服务安全</w:t>
            </w:r>
          </w:p>
        </w:tc>
        <w:tc>
          <w:tcPr>
            <w:tcW w:w="1350"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基本条件</w:t>
            </w:r>
          </w:p>
        </w:tc>
        <w:tc>
          <w:tcPr>
            <w:tcW w:w="7783" w:type="dxa"/>
            <w:shd w:val="clear" w:color="auto" w:fill="auto"/>
            <w:vAlign w:val="top"/>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1.申请机构需承诺自行承担助浴服务期间老人意外情况的相关风险；</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2.机构在助浴服务开始前对老年人的身体条件和洗浴环境进行评估，以确保服务的适宜性和安全性。包括对老年人基本信息、健康状况、自理能力以及洗浴环境的详细评估；</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3.严格按照敬老助浴项目《入户助浴标准服务流程》执行，确保服务的规范性和一致性；</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4.定期对服务质量进行反馈、总结、评估和改进；</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5.能够对服务过程中可能出现的安全问题建立应急预案，并定期进行演练；</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both"/>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6.配备急救箱和常用急救药品，以应对可能发生的紧急情况；</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7.无以下不予受理情形：</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（1）发生严重违规行为,受到相关部门的处罚(处理）未满3年，或己满3年但未完全履行处罚(处理)责任；</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（2）以弄虚作假等不正当手段申请助浴服务机构；</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（3）申请机构、法定代表人、主要负责人或实际控制人被列入失信人名单、经营活动异常名录、税收违法黑名单情况。</w:t>
            </w:r>
          </w:p>
        </w:tc>
        <w:tc>
          <w:tcPr>
            <w:tcW w:w="1467" w:type="dxa"/>
            <w:shd w:val="clear" w:color="auto" w:fill="auto"/>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sym w:font="Wingdings" w:char="00A8"/>
            </w:r>
            <w:r>
              <w:rPr>
                <w:rFonts w:hint="eastAsia" w:ascii="方正仿宋简体" w:hAnsi="方正仿宋简体" w:eastAsia="方正仿宋简体" w:cs="方正仿宋简体"/>
                <w:color w:val="auto"/>
                <w:kern w:val="0"/>
                <w:sz w:val="24"/>
                <w:szCs w:val="24"/>
                <w:vertAlign w:val="baseline"/>
                <w:lang w:val="en-US" w:eastAsia="zh-CN" w:bidi="ar"/>
              </w:rPr>
              <w:t>符合</w:t>
            </w:r>
          </w:p>
          <w:p>
            <w:pPr>
              <w:pStyle w:val="5"/>
              <w:numPr>
                <w:ilvl w:val="0"/>
                <w:numId w:val="0"/>
              </w:numPr>
              <w:ind w:left="0" w:leftChars="0" w:firstLine="0" w:firstLineChars="0"/>
              <w:jc w:val="left"/>
              <w:rPr>
                <w:rFonts w:hint="eastAsia" w:ascii="方正仿宋简体" w:hAnsi="方正仿宋简体" w:eastAsia="方正仿宋简体" w:cs="方正仿宋简体"/>
                <w:color w:val="auto"/>
                <w:kern w:val="0"/>
                <w:sz w:val="32"/>
                <w:szCs w:val="32"/>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sym w:font="Wingdings" w:char="00A8"/>
            </w:r>
            <w:r>
              <w:rPr>
                <w:rFonts w:hint="eastAsia" w:ascii="方正仿宋简体" w:hAnsi="方正仿宋简体" w:eastAsia="方正仿宋简体" w:cs="方正仿宋简体"/>
                <w:color w:val="auto"/>
                <w:kern w:val="0"/>
                <w:sz w:val="24"/>
                <w:szCs w:val="24"/>
                <w:vertAlign w:val="baseline"/>
                <w:lang w:val="en-US" w:eastAsia="zh-CN" w:bidi="ar"/>
              </w:rPr>
              <w:t>不符合</w:t>
            </w:r>
          </w:p>
        </w:tc>
        <w:tc>
          <w:tcPr>
            <w:tcW w:w="1500" w:type="dxa"/>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05" w:type="dxa"/>
            <w:vAlign w:val="center"/>
          </w:tcPr>
          <w:p>
            <w:pPr>
              <w:pStyle w:val="5"/>
              <w:numPr>
                <w:ilvl w:val="0"/>
                <w:numId w:val="0"/>
              </w:numPr>
              <w:jc w:val="center"/>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4</w:t>
            </w:r>
          </w:p>
        </w:tc>
        <w:tc>
          <w:tcPr>
            <w:tcW w:w="1574" w:type="dxa"/>
            <w:vMerge w:val="restart"/>
            <w:vAlign w:val="center"/>
          </w:tcPr>
          <w:p>
            <w:pPr>
              <w:pStyle w:val="5"/>
              <w:numPr>
                <w:ilvl w:val="0"/>
                <w:numId w:val="0"/>
              </w:numPr>
              <w:jc w:val="center"/>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综合指标</w:t>
            </w:r>
          </w:p>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（38分）</w:t>
            </w:r>
          </w:p>
        </w:tc>
        <w:tc>
          <w:tcPr>
            <w:tcW w:w="1350"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机构助浴服务经验（3分）</w:t>
            </w:r>
          </w:p>
        </w:tc>
        <w:tc>
          <w:tcPr>
            <w:tcW w:w="7783"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申请机构提供近三年内在长春市提供入户助浴服务的相关经验（需提供承接政府助浴项目或与个人签订入户助浴服的协议等印证资料），服务价格合理，符合市场水平，服务价格、服务内容、服务时长透明，公开得3分。</w:t>
            </w:r>
          </w:p>
        </w:tc>
        <w:tc>
          <w:tcPr>
            <w:tcW w:w="1467"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p>
        </w:tc>
        <w:tc>
          <w:tcPr>
            <w:tcW w:w="1500" w:type="dxa"/>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05"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5</w:t>
            </w:r>
          </w:p>
        </w:tc>
        <w:tc>
          <w:tcPr>
            <w:tcW w:w="1574" w:type="dxa"/>
            <w:vMerge w:val="continue"/>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c>
          <w:tcPr>
            <w:tcW w:w="1350"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机构管理能力（9分）</w:t>
            </w:r>
          </w:p>
        </w:tc>
        <w:tc>
          <w:tcPr>
            <w:tcW w:w="7783"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1.具备5名以上专职管理人员的，得2分；</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2.建立助浴服务技能考核培训制度，得2分；</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3.近三年在市级媒体宣传报道得3分，区级媒体宣传报道得2分。</w:t>
            </w:r>
          </w:p>
        </w:tc>
        <w:tc>
          <w:tcPr>
            <w:tcW w:w="1467"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方正仿宋简体" w:hAnsi="方正仿宋简体" w:eastAsia="方正仿宋简体" w:cs="方正仿宋简体"/>
                <w:color w:val="auto"/>
                <w:kern w:val="0"/>
                <w:sz w:val="32"/>
                <w:szCs w:val="32"/>
                <w:vertAlign w:val="baseline"/>
                <w:lang w:val="en-US" w:eastAsia="zh-CN" w:bidi="ar"/>
              </w:rPr>
            </w:pPr>
          </w:p>
        </w:tc>
        <w:tc>
          <w:tcPr>
            <w:tcW w:w="1500" w:type="dxa"/>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705" w:type="dxa"/>
            <w:vAlign w:val="center"/>
          </w:tcPr>
          <w:p>
            <w:pPr>
              <w:pStyle w:val="5"/>
              <w:numPr>
                <w:ilvl w:val="0"/>
                <w:numId w:val="0"/>
              </w:numPr>
              <w:jc w:val="center"/>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6</w:t>
            </w:r>
          </w:p>
        </w:tc>
        <w:tc>
          <w:tcPr>
            <w:tcW w:w="1574" w:type="dxa"/>
            <w:vMerge w:val="continue"/>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c>
          <w:tcPr>
            <w:tcW w:w="1350"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机构服务安全管理（6分）</w:t>
            </w:r>
          </w:p>
        </w:tc>
        <w:tc>
          <w:tcPr>
            <w:tcW w:w="7783"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1.有入户服务质量监督及评价方案，得2分；</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eastAsia"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2.建立入户服务风险管理机制，能有效防范入户</w:t>
            </w:r>
            <w:bookmarkStart w:id="0" w:name="_GoBack"/>
            <w:bookmarkEnd w:id="0"/>
            <w:r>
              <w:rPr>
                <w:rFonts w:hint="eastAsia" w:ascii="方正仿宋简体" w:hAnsi="方正仿宋简体" w:eastAsia="方正仿宋简体" w:cs="方正仿宋简体"/>
                <w:color w:val="auto"/>
                <w:kern w:val="0"/>
                <w:sz w:val="24"/>
                <w:szCs w:val="24"/>
                <w:vertAlign w:val="baseline"/>
                <w:lang w:val="en-US" w:eastAsia="zh-CN" w:bidi="ar"/>
              </w:rPr>
              <w:t>服务期间的各类意外风险，得2分；</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3.定期组织服务人员参加急救等相关安全教育培训，服务人员熟悉急救知识，掌握急救技能（申请机构提供培训记录、考核记录等)，得2分。</w:t>
            </w:r>
          </w:p>
        </w:tc>
        <w:tc>
          <w:tcPr>
            <w:tcW w:w="1467" w:type="dxa"/>
            <w:vAlign w:val="center"/>
          </w:tcPr>
          <w:p>
            <w:pPr>
              <w:pStyle w:val="5"/>
              <w:numPr>
                <w:ilvl w:val="0"/>
                <w:numId w:val="0"/>
              </w:numPr>
              <w:jc w:val="both"/>
              <w:rPr>
                <w:rFonts w:hint="eastAsia" w:ascii="方正仿宋简体" w:hAnsi="方正仿宋简体" w:eastAsia="方正仿宋简体" w:cs="方正仿宋简体"/>
                <w:color w:val="auto"/>
                <w:kern w:val="0"/>
                <w:sz w:val="32"/>
                <w:szCs w:val="32"/>
                <w:vertAlign w:val="baseline"/>
                <w:lang w:val="en-US" w:eastAsia="zh-CN" w:bidi="ar"/>
              </w:rPr>
            </w:pPr>
          </w:p>
        </w:tc>
        <w:tc>
          <w:tcPr>
            <w:tcW w:w="1500" w:type="dxa"/>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705" w:type="dxa"/>
            <w:vAlign w:val="center"/>
          </w:tcPr>
          <w:p>
            <w:pPr>
              <w:pStyle w:val="5"/>
              <w:numPr>
                <w:ilvl w:val="0"/>
                <w:numId w:val="0"/>
              </w:numPr>
              <w:jc w:val="center"/>
              <w:rPr>
                <w:rFonts w:hint="eastAsia" w:ascii="方正仿宋简体" w:hAnsi="方正仿宋简体" w:eastAsia="方正仿宋简体" w:cs="方正仿宋简体"/>
                <w:color w:val="auto"/>
                <w:kern w:val="0"/>
                <w:sz w:val="24"/>
                <w:szCs w:val="24"/>
                <w:vertAlign w:val="baseline"/>
                <w:lang w:val="en-US" w:eastAsia="zh-CN" w:bidi="ar"/>
              </w:rPr>
            </w:pPr>
          </w:p>
        </w:tc>
        <w:tc>
          <w:tcPr>
            <w:tcW w:w="1574" w:type="dxa"/>
            <w:vMerge w:val="continue"/>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c>
          <w:tcPr>
            <w:tcW w:w="1350"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center"/>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机构服务方案（20分）</w:t>
            </w:r>
          </w:p>
        </w:tc>
        <w:tc>
          <w:tcPr>
            <w:tcW w:w="7783" w:type="dxa"/>
            <w:vAlign w:val="center"/>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left"/>
              <w:textAlignment w:val="auto"/>
              <w:rPr>
                <w:rFonts w:hint="default" w:ascii="方正仿宋简体" w:hAnsi="方正仿宋简体" w:eastAsia="方正仿宋简体" w:cs="方正仿宋简体"/>
                <w:color w:val="auto"/>
                <w:kern w:val="0"/>
                <w:sz w:val="24"/>
                <w:szCs w:val="24"/>
                <w:vertAlign w:val="baseline"/>
                <w:lang w:val="en-US" w:eastAsia="zh-CN" w:bidi="ar"/>
              </w:rPr>
            </w:pPr>
            <w:r>
              <w:rPr>
                <w:rFonts w:hint="eastAsia" w:ascii="方正仿宋简体" w:hAnsi="方正仿宋简体" w:eastAsia="方正仿宋简体" w:cs="方正仿宋简体"/>
                <w:color w:val="auto"/>
                <w:kern w:val="0"/>
                <w:sz w:val="24"/>
                <w:szCs w:val="24"/>
                <w:vertAlign w:val="baseline"/>
                <w:lang w:val="en-US" w:eastAsia="zh-CN" w:bidi="ar"/>
              </w:rPr>
              <w:t>申请机构提供具体实施方案（机构组织架构、人员配备、人员培训、实施步骤、服务保障、应急预案等内容），得20分。</w:t>
            </w:r>
          </w:p>
        </w:tc>
        <w:tc>
          <w:tcPr>
            <w:tcW w:w="1467" w:type="dxa"/>
            <w:vAlign w:val="center"/>
          </w:tcPr>
          <w:p>
            <w:pPr>
              <w:pStyle w:val="5"/>
              <w:numPr>
                <w:ilvl w:val="0"/>
                <w:numId w:val="0"/>
              </w:numPr>
              <w:jc w:val="both"/>
              <w:rPr>
                <w:rFonts w:hint="eastAsia" w:ascii="方正仿宋简体" w:hAnsi="方正仿宋简体" w:eastAsia="方正仿宋简体" w:cs="方正仿宋简体"/>
                <w:color w:val="auto"/>
                <w:kern w:val="0"/>
                <w:sz w:val="32"/>
                <w:szCs w:val="32"/>
                <w:vertAlign w:val="baseline"/>
                <w:lang w:val="en-US" w:eastAsia="zh-CN" w:bidi="ar"/>
              </w:rPr>
            </w:pPr>
          </w:p>
        </w:tc>
        <w:tc>
          <w:tcPr>
            <w:tcW w:w="1500" w:type="dxa"/>
            <w:vAlign w:val="center"/>
          </w:tcPr>
          <w:p>
            <w:pPr>
              <w:pStyle w:val="5"/>
              <w:numPr>
                <w:ilvl w:val="0"/>
                <w:numId w:val="0"/>
              </w:numPr>
              <w:jc w:val="center"/>
              <w:rPr>
                <w:rFonts w:hint="eastAsia" w:ascii="方正仿宋简体" w:hAnsi="方正仿宋简体" w:eastAsia="方正仿宋简体" w:cs="方正仿宋简体"/>
                <w:color w:val="auto"/>
                <w:kern w:val="0"/>
                <w:sz w:val="32"/>
                <w:szCs w:val="32"/>
                <w:vertAlign w:val="baseline"/>
                <w:lang w:val="en-US" w:eastAsia="zh-CN" w:bidi="ar"/>
              </w:rPr>
            </w:pPr>
          </w:p>
        </w:tc>
      </w:tr>
    </w:tbl>
    <w:p>
      <w:pPr>
        <w:sectPr>
          <w:pgSz w:w="16838" w:h="11906" w:orient="landscape"/>
          <w:pgMar w:top="1803" w:right="1440" w:bottom="1803" w:left="1440" w:header="851" w:footer="992" w:gutter="0"/>
          <w:cols w:space="0" w:num="1"/>
          <w:rtlGutter w:val="0"/>
          <w:docGrid w:type="lines" w:linePitch="319" w:charSpace="0"/>
        </w:sect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MGZjY2NkYjdlMTc2Y2ExYTM5YzI2YjdjYTU5YTEifQ=="/>
  </w:docVars>
  <w:rsids>
    <w:rsidRoot w:val="188E4975"/>
    <w:rsid w:val="188E4975"/>
    <w:rsid w:val="31D343E3"/>
    <w:rsid w:val="7DBF3E7C"/>
    <w:rsid w:val="B3AF6AB1"/>
    <w:rsid w:val="DD47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Default"/>
    <w:unhideWhenUsed/>
    <w:qFormat/>
    <w:uiPriority w:val="0"/>
    <w:pPr>
      <w:widowControl w:val="0"/>
      <w:autoSpaceDE w:val="0"/>
      <w:autoSpaceDN w:val="0"/>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1014</Words>
  <Characters>1033</Characters>
  <Lines>0</Lines>
  <Paragraphs>0</Paragraphs>
  <TotalTime>15</TotalTime>
  <ScaleCrop>false</ScaleCrop>
  <LinksUpToDate>false</LinksUpToDate>
  <CharactersWithSpaces>1095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2024-08-01T00:43:00Z</dcterms:created>
  <dc:creator>Administrator</dc:creator>
  <cp:lastModifiedBy>巍巍一笑</cp:lastModifiedBy>
  <dcterms:modified xsi:type="dcterms:W3CDTF">2025-03-11T01:42:18Z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053CFD1151206922E863CE67620392A5_43</vt:lpwstr>
  </property>
</Properties>
</file>