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9F" w:rsidRPr="00891123" w:rsidRDefault="0045624E" w:rsidP="00891123">
      <w:pPr>
        <w:spacing w:line="560" w:lineRule="exact"/>
        <w:ind w:firstLineChars="450" w:firstLine="1988"/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</w:pPr>
      <w:proofErr w:type="gramStart"/>
      <w:r w:rsidRPr="00891123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募捐</w:t>
      </w:r>
      <w:r w:rsidRPr="00891123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部</w:t>
      </w:r>
      <w:proofErr w:type="gramEnd"/>
      <w:r w:rsidRPr="00891123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2024</w:t>
      </w:r>
      <w:r w:rsidRPr="00891123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年工作</w:t>
      </w:r>
      <w:r w:rsidR="00891123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总</w:t>
      </w:r>
      <w:r w:rsidRPr="00891123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结</w:t>
      </w:r>
    </w:p>
    <w:p w:rsidR="0025569F" w:rsidRPr="00891123" w:rsidRDefault="0025569F">
      <w:pPr>
        <w:spacing w:line="560" w:lineRule="exact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5569F" w:rsidRPr="00891123" w:rsidRDefault="0045624E">
      <w:pPr>
        <w:spacing w:line="560" w:lineRule="exact"/>
        <w:jc w:val="center"/>
        <w:rPr>
          <w:rFonts w:ascii="仿宋_GB2312" w:eastAsia="仿宋_GB2312" w:hAnsi="Times New Roman" w:cs="Times New Roman" w:hint="eastAsia"/>
          <w:sz w:val="36"/>
          <w:szCs w:val="36"/>
        </w:rPr>
      </w:pPr>
      <w:r w:rsidRPr="00891123">
        <w:rPr>
          <w:rFonts w:ascii="仿宋_GB2312" w:eastAsia="仿宋_GB2312" w:hAnsi="Times New Roman" w:cs="Times New Roman" w:hint="eastAsia"/>
          <w:sz w:val="36"/>
          <w:szCs w:val="36"/>
        </w:rPr>
        <w:t>2024</w:t>
      </w:r>
      <w:r w:rsidRPr="00891123">
        <w:rPr>
          <w:rFonts w:ascii="仿宋_GB2312" w:eastAsia="仿宋_GB2312" w:hAnsi="Times New Roman" w:cs="Times New Roman" w:hint="eastAsia"/>
          <w:sz w:val="36"/>
          <w:szCs w:val="36"/>
        </w:rPr>
        <w:t>年工作回顾</w:t>
      </w:r>
    </w:p>
    <w:p w:rsidR="0025569F" w:rsidRPr="00891123" w:rsidRDefault="0025569F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年，在新一届理事会正确引领与各级“三会”积极支持下，我们克服经济下行、募捐规则变化和内部人员变动等诸多挑战，积极动员各界力量参与慈善募捐超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5.6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万人次，连续第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年达成募集善款总额超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2000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万元的目标。截至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31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日，“携手助老区”和冠名基金两类项目累计募集善款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2604.15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万元，较去年同期增长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1.35%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，拨付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2166.47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万元，结余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437.68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万元，善款使用率达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83.19%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，受助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家庭超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1.26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万户，惠及约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2.93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万人次，取得显著成果。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bCs/>
          <w:sz w:val="32"/>
          <w:szCs w:val="32"/>
        </w:rPr>
        <w:t>一、公开募捐克难求进，规范前行。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一是根据今年的新形势、新情况，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我们年初精心制定总体方案，下发《关于开展全省老区建设与乡村发展“三会”系统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年度慈善公募捐赠活动的通知》，为全省尽早启动慈善募捐工作提供制度保障与技术指引。二是加强业务指导，联合财务部举办了财务和慈善募捐项目管理研讨班，邀请审计专家授课，与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13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设区市和有关县（市、区）的同志们就善款管理、项目执行和审计等内容进行研讨学习，集中解决慈善募捐工作中的疑难问题。三是进一步规范慈善募捐活动，根据省有关部门要求和各地反映的有关情况，研究制定了慈善募捐信息公开制度和慈善募捐工作经费管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理制度。四是贯彻落实省民政厅新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出台江苏省地方标准《公开募捐管理规范》，我们一边认真学习领会文件精神要点，一边重新编制、报备全省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75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个群体公开募捐项目书，确保项目如期发布与募捐顺利开展。五是与各项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目单位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紧密沟通，提供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7*24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小时“线上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+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线下”全天候咨询服务和全方位支撑。截至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30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日，“携手助老区”系列公开募捐项目累计接受赠款达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1810.64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万元，较去年同期增长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6.96%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，支出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1383.42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万元，结余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427.22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万元，善款使用率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76.4%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，取得超预期成果。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bCs/>
          <w:sz w:val="32"/>
          <w:szCs w:val="32"/>
        </w:rPr>
        <w:t>二、冠名</w:t>
      </w:r>
      <w:proofErr w:type="gramStart"/>
      <w:r w:rsidRPr="00891123">
        <w:rPr>
          <w:rFonts w:ascii="仿宋_GB2312" w:eastAsia="仿宋_GB2312" w:hAnsi="方正黑体_GBK" w:cs="方正黑体_GBK" w:hint="eastAsia"/>
          <w:bCs/>
          <w:sz w:val="32"/>
          <w:szCs w:val="32"/>
        </w:rPr>
        <w:t>基金立求奋发</w:t>
      </w:r>
      <w:proofErr w:type="gramEnd"/>
      <w:r w:rsidRPr="00891123">
        <w:rPr>
          <w:rFonts w:ascii="仿宋_GB2312" w:eastAsia="仿宋_GB2312" w:hAnsi="方正黑体_GBK" w:cs="方正黑体_GBK" w:hint="eastAsia"/>
          <w:bCs/>
          <w:sz w:val="32"/>
          <w:szCs w:val="32"/>
        </w:rPr>
        <w:t>，成绩斐然。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尽管面临经济下行、内部困难增多等诸多挑战，各地仍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积极响应号召，鼓励爱心民营企业投身老区发展与乡村振兴，踊跃设立冠名基金。截至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31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日，省“三会”旗下冠名基金项目总数已达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75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个，比去年增加了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个。从层级看，省本级有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个，新增捐款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38.24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万元；市县级共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54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个，新增捐款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668.95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万元。其中：南京市江宁、浦口区各设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个、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六合区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个，新增捐款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43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万元；无锡市联合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县（市、区）设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212.05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万元；常州市金坛区设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个，溧阳市、武进区各设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208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万元；徐州、邳州、丰县各设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万元；苏州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9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县（市、区）合设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万元；连云港赣榆、海州分别设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个和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万元；淮安市淮安区、盱眙县分别设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个和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50.40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万元；盐城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县（市、区）合设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万元；泰州及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县（市、区）共设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个，新增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98.5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方正黑体_GBK" w:cs="方正黑体_GBK" w:hint="eastAsia"/>
          <w:bCs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bCs/>
          <w:sz w:val="32"/>
          <w:szCs w:val="32"/>
        </w:rPr>
        <w:lastRenderedPageBreak/>
        <w:t>三、各地三会能力跃升，亮点纷呈。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一是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年慈善募捐势头强劲，全省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13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个设区市中有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12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个、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89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个县（市、区）中有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83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个“三会”参加了慈善募捐活动，参与率达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92.23%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，有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63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个县（市、区）募款超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万，占比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70.78%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。其中，南京、徐州、苏州、南通、扬州、镇江、泰州、宿迁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8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市所辖县（市、区）慈善募捐参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与率达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100%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，泰州实现慈善募捐、冠名基金县（市、区）全覆盖并分别取得三连冠、五年冠，关键指标领跑全省。无锡市冠名基金规模超过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万元，位居全省前列。连云港募款较去年也有大幅跃升。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二是从县（市、区）情况看，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年南京市浦口区连续第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年向省“三会”捐款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万元，为全省“三会”慈善募捐事业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作出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重大贡献，浦口区还与淮安区率先在全省结对共建友好“三会”，双方取长补短共同促进发展；南京市江宁区沉淀“江宁经验”线上募捐六年蝉联全省县（市、区）冠军，实现街道冠名基金全覆盖；溧阳市募款超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300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万，三连击助力红色资源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项目，获市委、市政府嘉奖；江宁区、海门区、金坛区、溧阳市、惠山区、如皋市募款破百万，成为全省慈善募捐领头羊。</w:t>
      </w:r>
    </w:p>
    <w:p w:rsidR="0025569F" w:rsidRPr="00891123" w:rsidRDefault="0025569F" w:rsidP="00891123">
      <w:pPr>
        <w:spacing w:line="560" w:lineRule="exact"/>
        <w:rPr>
          <w:rFonts w:ascii="仿宋_GB2312" w:eastAsia="仿宋_GB2312" w:hAnsi="Times New Roman" w:cs="Times New Roman" w:hint="eastAsia"/>
          <w:sz w:val="36"/>
          <w:szCs w:val="36"/>
        </w:rPr>
      </w:pPr>
      <w:bookmarkStart w:id="0" w:name="_GoBack"/>
      <w:bookmarkEnd w:id="0"/>
    </w:p>
    <w:p w:rsidR="0025569F" w:rsidRPr="00891123" w:rsidRDefault="0045624E">
      <w:pPr>
        <w:spacing w:line="560" w:lineRule="exact"/>
        <w:jc w:val="center"/>
        <w:rPr>
          <w:rFonts w:ascii="仿宋_GB2312" w:eastAsia="仿宋_GB2312" w:hAnsi="Times New Roman" w:cs="Times New Roman" w:hint="eastAsia"/>
          <w:sz w:val="36"/>
          <w:szCs w:val="36"/>
        </w:rPr>
      </w:pPr>
      <w:r w:rsidRPr="00891123">
        <w:rPr>
          <w:rFonts w:ascii="仿宋_GB2312" w:eastAsia="仿宋_GB2312" w:hAnsi="Times New Roman" w:cs="Times New Roman" w:hint="eastAsia"/>
          <w:sz w:val="36"/>
          <w:szCs w:val="36"/>
        </w:rPr>
        <w:t>2025</w:t>
      </w:r>
      <w:r w:rsidRPr="00891123">
        <w:rPr>
          <w:rFonts w:ascii="仿宋_GB2312" w:eastAsia="仿宋_GB2312" w:hAnsi="Times New Roman" w:cs="Times New Roman" w:hint="eastAsia"/>
          <w:sz w:val="36"/>
          <w:szCs w:val="36"/>
        </w:rPr>
        <w:t>年工作打算</w:t>
      </w:r>
    </w:p>
    <w:p w:rsidR="0025569F" w:rsidRPr="00891123" w:rsidRDefault="0025569F">
      <w:pPr>
        <w:spacing w:line="560" w:lineRule="exact"/>
        <w:ind w:firstLineChars="200" w:firstLine="720"/>
        <w:rPr>
          <w:rFonts w:ascii="仿宋_GB2312" w:eastAsia="仿宋_GB2312" w:hAnsi="Times New Roman" w:cs="Times New Roman" w:hint="eastAsia"/>
          <w:sz w:val="36"/>
          <w:szCs w:val="36"/>
        </w:rPr>
      </w:pP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年，我们将紧扣“携手助老区”主题，积极响应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2019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年江宁慈善募捐现场推进会的倡议，全省志在募集善款超过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2500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万元，达成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89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个县区慈善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募捐全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覆盖的目标，实现全系统协同发展的新突破。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一、</w:t>
      </w: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学习贯彻《慈善法》。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新修改的《慈善法》于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9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日施行，这是我国社会领域的重要法律，将为慈善事业健康有序发展提供更加有力的法治保障。我们要深刻领会《慈善法》的立法宗旨，用《慈善法》规范我们的行为、指导我们的工作，促进全省“三会”系统慈善募捐工作健康发展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二、</w:t>
      </w: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深化“四个对接”。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一是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对接省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民政厅。密切追踪公开募捐政策走向，及时获取一手信息，让项目管理契合政策规范，更具专业性，为募捐工作筑牢根基。二是对接市、县区“三会”。聚焦尚未参与募捐的县区，为其量身定制政策法规解读与实操业务培训，扫清新手入门障碍，促使募捐工作全面铺开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。三是对接爱心企业与社会贤达。积极探寻合作机遇，创新推出专项基金、冠名基金等丰富多元的项目形式，拓宽资金募集的渠道版图。四是对接网络公募平台。精细打磨项目发布流程，无缝衔接活动规则，落实全方位技术支持，为线上募捐保驾护航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三、</w:t>
      </w: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精细项目策划。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一是研究可行性。扎实深入基层调研，精准锚定帮扶对象，以实际需求为导向，保证公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募项目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贴合现实、切实可行。二是细化操作性。通盘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考量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项目执行细节，精心雕琢实施方案与文案，提升项目实操性，让善款精准落地。三是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 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探讨实效性。科学拟定募集目标与执行策略，全程跟进，确保项目落地生根、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开花结果。同时，助力县区、村镇设立更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多服务乡村振兴与红色资源保护的冠名基金。</w:t>
      </w:r>
    </w:p>
    <w:p w:rsidR="0025569F" w:rsidRPr="00891123" w:rsidRDefault="0045624E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四、</w:t>
      </w:r>
      <w:r w:rsidRPr="00891123">
        <w:rPr>
          <w:rFonts w:ascii="仿宋_GB2312" w:eastAsia="仿宋_GB2312" w:hAnsi="方正黑体_GBK" w:cs="方正黑体_GBK" w:hint="eastAsia"/>
          <w:sz w:val="32"/>
          <w:szCs w:val="32"/>
        </w:rPr>
        <w:t>严格制度执行。</w:t>
      </w:r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一是强化契约化管理，进一步细化公</w:t>
      </w:r>
      <w:proofErr w:type="gramStart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募项目</w:t>
      </w:r>
      <w:proofErr w:type="gramEnd"/>
      <w:r w:rsidRPr="00891123">
        <w:rPr>
          <w:rFonts w:ascii="仿宋_GB2312" w:eastAsia="仿宋_GB2312" w:hAnsi="Times New Roman" w:cs="Times New Roman" w:hint="eastAsia"/>
          <w:sz w:val="32"/>
          <w:szCs w:val="32"/>
        </w:rPr>
        <w:t>实施细则，厘清各方权责，让项目运作有章可循、规范透明。二是加强动态监管，升级公开募捐平台与微网站运维能力，借助信息化手段，提升服务质量与监管效能。三是实行信息公开，做好网络公募平台数据深挖，依法依规向社会披露活动详情，捍卫捐赠者的知情权与监督权。</w:t>
      </w:r>
    </w:p>
    <w:p w:rsidR="0025569F" w:rsidRPr="00891123" w:rsidRDefault="0025569F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5569F" w:rsidRPr="00891123" w:rsidRDefault="0025569F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sectPr w:rsidR="0025569F" w:rsidRPr="00891123">
      <w:footerReference w:type="default" r:id="rId9"/>
      <w:pgSz w:w="11906" w:h="16838"/>
      <w:pgMar w:top="2098" w:right="1587" w:bottom="2098" w:left="1587" w:header="851" w:footer="170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4E" w:rsidRDefault="0045624E">
      <w:r>
        <w:separator/>
      </w:r>
    </w:p>
  </w:endnote>
  <w:endnote w:type="continuationSeparator" w:id="0">
    <w:p w:rsidR="0045624E" w:rsidRDefault="0045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69F" w:rsidRDefault="0045624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2.8pt;margin-top:0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25569F" w:rsidRDefault="0045624E">
                <w:pPr>
                  <w:pStyle w:val="a3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891123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5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4E" w:rsidRDefault="0045624E">
      <w:r>
        <w:separator/>
      </w:r>
    </w:p>
  </w:footnote>
  <w:footnote w:type="continuationSeparator" w:id="0">
    <w:p w:rsidR="0045624E" w:rsidRDefault="00456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4788"/>
    <w:rsid w:val="000F11F6"/>
    <w:rsid w:val="0025569F"/>
    <w:rsid w:val="003A0E5D"/>
    <w:rsid w:val="0045624E"/>
    <w:rsid w:val="00477465"/>
    <w:rsid w:val="00512D34"/>
    <w:rsid w:val="00576358"/>
    <w:rsid w:val="00891123"/>
    <w:rsid w:val="008D2A04"/>
    <w:rsid w:val="00A13109"/>
    <w:rsid w:val="00A618B5"/>
    <w:rsid w:val="00FD4788"/>
    <w:rsid w:val="1C5143F9"/>
    <w:rsid w:val="36C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AA2718-8DB6-43B3-9B0B-90C3719B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364</Words>
  <Characters>2076</Characters>
  <Application>Microsoft Office Word</Application>
  <DocSecurity>0</DocSecurity>
  <Lines>17</Lines>
  <Paragraphs>4</Paragraphs>
  <ScaleCrop>false</ScaleCrop>
  <Company>FreeSkyCD.Cn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江苏省老区建设促进会</cp:lastModifiedBy>
  <cp:revision>7</cp:revision>
  <cp:lastPrinted>2025-01-03T08:07:00Z</cp:lastPrinted>
  <dcterms:created xsi:type="dcterms:W3CDTF">2025-01-03T07:20:00Z</dcterms:created>
  <dcterms:modified xsi:type="dcterms:W3CDTF">2026-07-27T08:22:00Z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eyJoZGlkIjoiNDFmZjVkNTRhYTMzNjI0OGRhZGVjMTJhYmJlNWI3NzkiLCJ1c2VySWQiOiI2NTI2ODEyMTgifQ==</vt:lpwstr>
  </property>
  <property fmtid="{D5CDD505-2E9C-101B-9397-08002B2CF9AE}" pid="4" name="ICV">
    <vt:lpwstr>FA67E93AA25343E49B0F450CDD8ECACC_12</vt:lpwstr>
  </property>
</Properties>
</file>